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Comprehensive System Architecture and Deployment Strategy for Pune, Maharashtra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Unified Platform Thesis: The OmniView IQ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energy landscape is characterized by a fundamental operational disconnect: facility engineering teams monitor machine health independently of financial consequence, while plant management views energy consumption reactively upon receiving utility bills. Decisions are thus made as delayed reactions to costs that have already been locked in. The OmniView IQ platform serves to entirely eliminate this disconnect. Originally bifurcated into two distinct product propositions—one focused on electricity billing pain under the "EcoGrid" moniker and the other on comprehensive factory telemetry as the "OmniView" Industrial Internet of Things (IIoT) operating system—the platform has been definitively consolidated into a singular, unified architecture: OmniView IQ</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consolidation fundamentally resolves the platform's dual identity. The optimization of electricity tariffs and demand penalties serves as the fast-return commercial entry wedge, while the exhaustive six-layer IIoT and Digital Twin platform serves as the scalable engineering infrastructure required to physically execute energy optimization, predictive maintenance, and carbon monetization on the factory floor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seamlessly bridging the gap between microsecond-level edge telemetry and month-end corporate carbon accounting, the platform transforms energy from an unavoidable overhead cost into an actively managed, compounding asset.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built upon a world-first dual artificial intelligence design for energy management: TinyML algorithms executing at the edge for microsecond anomaly detection, paired with Cloud-based Large Language Models (LLMs) and advanced mathematical forecasting (LSTM and XGBoost) for deep, cross-system analytics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exhaustively details the deployment specifications for OmniView IQ, specifically engineered for an industrial facility operating in Pune, Maharashtra, under the stringent regulatory and tariff framework of the Maharashtra State Electricity Distribution Co. Ltd. (MSEDCL). It documents the precise systemic layers, hardware integrations, anomaly monitoring frameworks, alerting hierarchies, and the complex state-machine conflict resolutions required to manage both microscopic machine faults and macroscopic financial penalties.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Operational Context: Pune, Maharashtra (MSEDCL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deployment in the Pune industrial corridor necessitates an architecture heavily tuned to the regulatory structures dictated by the Maharashtra Electricity Regulatory Commission (MERC) and MSEDCL. The financial core of OmniView IQ's value proposition relies on navigating MSEDCL’s High Tension (HT) industrial tariffs (e.g., HT-I), which are structured around stringent two-part pricing, peak demand penalties, dynamic Time-of-Day (ToD) pricing, and inherent power factor governance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Transition to kVAh Billing and Power Factor 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MSEDCL governed industrial power factor (PF) through explicit incentive and penalty structures, where consumers were penalized with an additional 2% charge for every 1% drop in PF below 0.90, or incentivized for maintaining a PF above 0.95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following MERC multi-year tariff (MYT) orders covering the control periods through FY 2024-25 and beyond, MSEDCL introduced kVAh (kilo-Volt-Ampere-hour) billing for all HT and eligible LT industrial consumers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kVAh billing inherently internalizes the PF penalty. Because apparent energy (</w:t>
      </w:r>
      <w:r w:rsidDel="00000000" w:rsidR="00000000" w:rsidRPr="00000000">
        <w:rPr>
          <w:rFonts w:ascii="Google Sans" w:cs="Google Sans" w:eastAsia="Google Sans" w:hAnsi="Google Sans"/>
          <w:color w:val="1f1f1f"/>
        </w:rPr>
        <w:drawing>
          <wp:inline distB="19050" distT="19050" distL="19050" distR="19050">
            <wp:extent cx="519856" cy="2457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9856" cy="245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defined as the square root of the sum of active energy squared (</w:t>
      </w:r>
      <w:r w:rsidDel="00000000" w:rsidR="00000000" w:rsidRPr="00000000">
        <w:rPr>
          <w:rFonts w:ascii="Google Sans" w:cs="Google Sans" w:eastAsia="Google Sans" w:hAnsi="Google Sans"/>
          <w:color w:val="1f1f1f"/>
        </w:rPr>
        <w:drawing>
          <wp:inline distB="19050" distT="19050" distL="19050" distR="19050">
            <wp:extent cx="505420" cy="24794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5420" cy="247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reactive energy squared (</w:t>
      </w:r>
      <w:r w:rsidDel="00000000" w:rsidR="00000000" w:rsidRPr="00000000">
        <w:rPr>
          <w:rFonts w:ascii="Google Sans" w:cs="Google Sans" w:eastAsia="Google Sans" w:hAnsi="Google Sans"/>
          <w:color w:val="1f1f1f"/>
        </w:rPr>
        <w:drawing>
          <wp:inline distB="19050" distT="19050" distL="19050" distR="19050">
            <wp:extent cx="748456" cy="24632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48456" cy="246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consuming highly reactive power (e.g., through uncompensated induction motors) directly inflates the billed kVAh units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consumers are structurally penalized for poor PF without the need for a separate surcharge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OmniView IQ Core Power Module addresses this by continuously computing real-time reactive load across the facility. By interfacing directly with edge computing gateways, the platform can preemptively engage Active Power Factor Correction (APFC) capacitor banks, arresting the accumulation of RkVAh before the monthly invoice is inflated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Maximum Demand (MD) Penalties and the Rolling Window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MSEDCL tariff code, utility demand charges are billed against the Maximum Measured Demand (kVA) recorded across any rolling 15-minute window during the monthly billing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fixed demand charges are strictly enforced on the higher of the actual recorded demand or 50% of the contracted, sanctioned demand limit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15-minute spike that exceeds the contracted demand limit locks in penal charges ranging from 1.5x to 2.0x on all excess kVA, devastating a facility's monthly operating margin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OmniView IQ’s Intelligence layer fundamentally negates this risk by utilizing LSTM and XGBoost algorithms to run continuous 24-hour day-ahead forecasts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live operations, the platform computes the time-weighted average of the active 15-minute window in real time: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817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sudden machine startup creates an </w:t>
      </w:r>
      <w:r w:rsidDel="00000000" w:rsidR="00000000" w:rsidRPr="00000000">
        <w:rPr>
          <w:rFonts w:ascii="Google Sans" w:cs="Google Sans" w:eastAsia="Google Sans" w:hAnsi="Google Sans"/>
          <w:color w:val="1f1f1f"/>
        </w:rPr>
        <w:drawing>
          <wp:inline distB="19050" distT="19050" distL="19050" distR="19050">
            <wp:extent cx="1156992" cy="24861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56992" cy="248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threatens to push the </w:t>
      </w:r>
      <w:r w:rsidDel="00000000" w:rsidR="00000000" w:rsidRPr="00000000">
        <w:rPr>
          <w:rFonts w:ascii="Google Sans" w:cs="Google Sans" w:eastAsia="Google Sans" w:hAnsi="Google Sans"/>
          <w:color w:val="1f1f1f"/>
        </w:rPr>
        <w:drawing>
          <wp:inline distB="19050" distT="19050" distL="19050" distR="19050">
            <wp:extent cx="1185863" cy="246659"/>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85863" cy="246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limit before the 15-minute window closes, the system's automated demand response initiates predictive load shedding, selectively curtailing non-critical auxiliary loads to flatten the demand curve safely beneath the penalty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Incentives, Rebates, and Time-of-Day (ToD) Optimization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MSEDCL provides substantial financial incentives for optimized, continuous operation, which OmniView IQ programmatically harvests. The intelligence engine is designed to maximize the following structural tariff benefits: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MSEDCL Tariff Incentive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OmniView IQ Optimization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Load Factor (LF) Rebate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 energy charge rebate per percentage point increase for LF between 75% and 85%; 1% rebate per point for LF above 85% (capped at 15%)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Intelligent continuous baseline monitoring ensures the facility minimizes downtime and maximizes consumption relative to the contracted demand, ensuring payment schedules align with rebate eligibility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Time-of-Day (ToD) Pricing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Surcharges applied during peak evening hours (18:00 to 22:00) and substantial rate reductions offered during off-peak night hours (22:00 to 06:00)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batch-rescheduling recommendations shift non-critical processes, thermal loads, and heavy compressor cycles into the 22:00-06:00 window, unlocking 10–20% cheaper aggregate rates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Bulk Supply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Reverse telescopic discount of 2% on energy charges for consumption exceeding 1 lakh units up to 1 MU, and 1.5% for consumption between 1 MU and 5 MU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forecasting aligns heavy manufacturing schedules to predictably surpass threshold boundaries, locking in percentage-based invoice reductions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Incremental Consumption Rebate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Rebate of ₹0.75/kVAh for consumption exceeding the facility's three-year average baseline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cumulative consumption against historical thresholds to identify optimal production ramp-ups that trigger the ₹0.75 rebate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 Shift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reduction in applicable Demand Charges for facilities operating a single continuous shift (maximum 10 hours)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enforces and monitors shift times to ensure no accidental machine startups violate the single-shift regulatory declaration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Six-Layer Architectural Blueprint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is constructed on a non-negotiable architectural philosophy: one platform, one continuous data flow, and highly adaptable edge code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platform completely avoids bespoke codebases for individual factories. What remains fixed is the operational sequence (Sense → Connect → Model → Intelligence → Monetize → Deliver). What changes is the hardware adapter configuration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operates across a foundational configuration layer (Layer 0) and six execution layers.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Layer 0: Site Configuration Profile and Governance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0 acts as the single source of truth for the entire Pune deployment. It is a strictly formatted JSON genome containing all site-specific variables—machine inventories, communication protocols, dynamic MSEDCL tariff rates, carbon emission factors, and operational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downstream layer contains hardcoded facility data; they simply query Layer 0. If this rule is violated, the system ceases to be a scalable platform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systemic failure caused by unilateral configuration changes, Layer 0 distributes ownership across departmental silos. The IT department controls OT/IT network boundary rules and encryption. Plant Engineering dictates safe operating ranges, vibration limits, and machine lifecycle events. Finance governs the MSEDCL tariff structures, while Operations manages the Role-Based Access Control (RBAC) mapping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Multi-Tenant Arbitration and Staging Isolation:</w:t>
      </w:r>
      <w:r w:rsidDel="00000000" w:rsidR="00000000" w:rsidRPr="00000000">
        <w:rPr>
          <w:rFonts w:ascii="Google Sans" w:cs="Google Sans" w:eastAsia="Google Sans" w:hAnsi="Google Sans"/>
          <w:color w:val="1f1f1f"/>
          <w:rtl w:val="0"/>
        </w:rPr>
        <w:t xml:space="preserve"> A critical vulnerability in IIoT platforms is the cross-departmental race condition. For instance, if the Finance department updates the ToD tariff hours to capture a new MSEDCL rebate window, while Plant Engineering simultaneously locks a critical furnace heat cycle during those exact hours, the resulting operational conflict could cause catastrophic production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OmniView IQ resolves this through a Pre-Commit Simulation Gate. Modifications to Layer 0 are programmatically blocked from direct production commits. Instead, edits are written to a staging_config_diff state and passed through an automated, headless Digital Twin simulation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simulation indicates an adverse operational impact (e.g., "Proposed shift schedule breaches contracted kVA limit by +140 kVA; projected monthly penalty: ₹84,000"), the output is appended to an audit log. The system mandates a multi-tenant sign-off from both Finance and Engineering before the configuration is allowed to merge into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Mid-Cycle Machine Deletion Governance:</w:t>
      </w:r>
      <w:r w:rsidDel="00000000" w:rsidR="00000000" w:rsidRPr="00000000">
        <w:rPr>
          <w:rFonts w:ascii="Google Sans" w:cs="Google Sans" w:eastAsia="Google Sans" w:hAnsi="Google Sans"/>
          <w:color w:val="1f1f1f"/>
          <w:rtl w:val="0"/>
        </w:rPr>
        <w:t xml:space="preserve"> Single-user deletion of production assets from the dashboard is strictly disallowed. If an engineer attempts to remove a machine from Layer 0 while the Layer 3 modeling engine is actively computing a rolling 15-minute demand forecast, the system initiates a Human-in-the-Loop (HITL) safeguard. Layer 2 marks the asset state as OFFLINE_UNPLAGGED and records the exact timestamp, allowing the simulation and analysis tools to actively display the downstream production losses and demand drift caused by the unplanned disconnect, rather than silently dropping the machine from the facility baseline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Layer 1: Sense (Hardware Interface and Protocol Binding)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is the physical data acquisition foundation, responsible for pulling ground-truth telemetry off the factory floor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the Pune deployment, the hardware stack is sensor-agnostic and relies on IEC and ISO-compliant industrial equipment. The deployment utilizes modular hardware blocks: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Power Module:</w:t>
      </w:r>
      <w:r w:rsidDel="00000000" w:rsidR="00000000" w:rsidRPr="00000000">
        <w:rPr>
          <w:rFonts w:ascii="Google Sans" w:cs="Google Sans" w:eastAsia="Google Sans" w:hAnsi="Google Sans"/>
          <w:color w:val="1f1f1f"/>
          <w:rtl w:val="0"/>
        </w:rPr>
        <w:t xml:space="preserve"> Deployed across the facility's main incomers and critical distribution boards, utilizing highly accurate CT clamps to capture three-phase voltage, current, active power, and reactive power for real-time power factor and demand calculations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Rotating and Thermal Modules:</w:t>
      </w:r>
      <w:r w:rsidDel="00000000" w:rsidR="00000000" w:rsidRPr="00000000">
        <w:rPr>
          <w:rFonts w:ascii="Google Sans" w:cs="Google Sans" w:eastAsia="Google Sans" w:hAnsi="Google Sans"/>
          <w:color w:val="1f1f1f"/>
          <w:rtl w:val="0"/>
        </w:rPr>
        <w:t xml:space="preserve"> Micro-Electro-Mechanical Systems (MEMS) accelerometers are mounted on motors and compressors to measure broadband vibration, while thermal sensors track HVAC setpoints and furnace temperatures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operates via an adapter model. Adapters scale by communication protocol (e.g., Modbus TCP/RTU, RS-485, OPC-UA, MQTT, BACnet), rather than by machine 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dictated by IEC 62541 (OPC UA) standards, namespace aggregation allows node IDs from external proprietary PLCs to be translated into a concise, unified address 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Protocol Schema Version Hashing:</w:t>
      </w:r>
      <w:r w:rsidDel="00000000" w:rsidR="00000000" w:rsidRPr="00000000">
        <w:rPr>
          <w:rFonts w:ascii="Google Sans" w:cs="Google Sans" w:eastAsia="Google Sans" w:hAnsi="Google Sans"/>
          <w:color w:val="1f1f1f"/>
          <w:rtl w:val="0"/>
        </w:rPr>
        <w:t xml:space="preserve"> Industrial environments are susceptible to sudden OEM firmware upgrades on Programmable Logic Controllers (PLCs), which frequently alter memory register addresses. To prevent a shifted register map from silently feeding incorrect telemetry (e.g., mistaking a temperature reading for a voltage reading) into the database, Layer 1 protocol adapters attach an adapter_version_hash and register-map signature to every packet. If Layer 2 detects a discrepancy (flagged as SCHEMA_MAP_DRIFT), it immediately halts ingestion for that specific channel to preserve historical data integrity, routing a verification task to the plant operator to bind the new registers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Layer 2: Connect (Telemetry Bus and Edge Timing)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securely routes protocol-normalized data from the edge gateways to the central time-series data store (PostgreSQL optimized with TimescaleDB), guaranteeing high availability and bridging the OT/IT security boundary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Hierarchical Time-Synchronization Bus:</w:t>
      </w:r>
      <w:r w:rsidDel="00000000" w:rsidR="00000000" w:rsidRPr="00000000">
        <w:rPr>
          <w:rFonts w:ascii="Google Sans" w:cs="Google Sans" w:eastAsia="Google Sans" w:hAnsi="Google Sans"/>
          <w:color w:val="1f1f1f"/>
          <w:rtl w:val="0"/>
        </w:rPr>
        <w:t xml:space="preserve"> Aggregating power demand across dozens of machines breaks mathematically if sensor timestamps drift. In a scenario where Modbus polling loops run on rigid schedules but MQTT devices push data asynchronously, a 30-second clock drift could cause a high-amperage motor startup to be recorded in the wrong 15-minute MSEDCL billing window, masking a peak demand breach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solve this, Layer 2 enforces stringent timestamp governance at the edge gateway level. Local nodes synchronize via IEEE 1588 (Precision Time Protocol) or local NTP servers, tagging every outbound packet with an immutable UTC timestamp (ts_edge_utc). Higher-level platform aggregations query only time-aligned buckets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Layer 2 is designed for offline edge resilience. If the internet connection at the Pune plant is severed, the Offline Buffer &amp; Resync Engine caches data locally on the edge computing node. Upon reconnection, the data is chronologically backfilled into the central database, ensuring unbroken historical continuity for the machine learning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Layer 3: Model (Analytics Engine and Digital Twin State)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transforms raw telemetry into mathematical meaning. It houses the three core predictive engines of the platform: Maximum Demand Forecasting, Predictive Maintenance (vibration and thermal analysis), and Anomaly Detection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Automated Asset Re-Baselining:</w:t>
      </w:r>
      <w:r w:rsidDel="00000000" w:rsidR="00000000" w:rsidRPr="00000000">
        <w:rPr>
          <w:rFonts w:ascii="Google Sans" w:cs="Google Sans" w:eastAsia="Google Sans" w:hAnsi="Google Sans"/>
          <w:color w:val="1f1f1f"/>
          <w:rtl w:val="0"/>
        </w:rPr>
        <w:t xml:space="preserve"> Machine learning models are only as accurate as their baselines. When a plant engineer logs a machine overhaul, refurbishment, or spare-part replacement in Layer 0, Layer 3 intercepts the asset lifecycle event. The system immediately invalidates the machine's historical ML baseline (baseline_status = RECALIBRATING)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subsequent 10-day statistical learning window, the anomaly engine intelligently reverts to the static OEM nameplate thresholds defined in Layer 0, utilizing real-time vibration and current differentials to bootstrap the new model safely without triggering false alarms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Dual-Renderer Digital Twin:</w:t>
      </w:r>
      <w:r w:rsidDel="00000000" w:rsidR="00000000" w:rsidRPr="00000000">
        <w:rPr>
          <w:rFonts w:ascii="Google Sans" w:cs="Google Sans" w:eastAsia="Google Sans" w:hAnsi="Google Sans"/>
          <w:color w:val="1f1f1f"/>
          <w:rtl w:val="0"/>
        </w:rPr>
        <w:t xml:space="preserve"> The OmniView IQ Digital Twin is a live, synchronized software representation of the factory floor's actual state. The physical geometry and the data state are fully decoupled through a TwinStateObject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supports two visual rendering contracts: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Option A (Data-State Twin / 2D Schematic):</w:t>
      </w:r>
      <w:r w:rsidDel="00000000" w:rsidR="00000000" w:rsidRPr="00000000">
        <w:rPr>
          <w:rFonts w:ascii="Google Sans" w:cs="Google Sans" w:eastAsia="Google Sans" w:hAnsi="Google Sans"/>
          <w:color w:val="1f1f1f"/>
          <w:rtl w:val="0"/>
        </w:rPr>
        <w:t xml:space="preserve"> Highly optimized for high-speed, lightweight plant-floor operations. It displays a top-down schematic where machines are rendered as distinct icons flashing with real-time operational states, explicitly designed for operators needing instant, low-latency visibility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Option B (3D Spatial Canvas):</w:t>
      </w:r>
      <w:r w:rsidDel="00000000" w:rsidR="00000000" w:rsidRPr="00000000">
        <w:rPr>
          <w:rFonts w:ascii="Google Sans" w:cs="Google Sans" w:eastAsia="Google Sans" w:hAnsi="Google Sans"/>
          <w:color w:val="1f1f1f"/>
          <w:rtl w:val="0"/>
        </w:rPr>
        <w:t xml:space="preserve"> A fully rendered WebGL replica utilized for executive walkthroughs and spatial anomaly drill-downs, visually correlating the precise physical location of an overheating bearing against the wider plant layout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Layer 4: Intelligence (Prescriptive Arbitration and Simulation)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Layer 3 outputs raw mathematical probabilities, Layer 4 converts these numbers into actionable, ranked business decisions. It takes inputs like failure risk percentages and demand curves, processes them through operational rule templates, and outputs prescriptive recommendations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Component D5: Conflict Arbitration Logic:</w:t>
      </w:r>
      <w:r w:rsidDel="00000000" w:rsidR="00000000" w:rsidRPr="00000000">
        <w:rPr>
          <w:rFonts w:ascii="Google Sans" w:cs="Google Sans" w:eastAsia="Google Sans" w:hAnsi="Google Sans"/>
          <w:color w:val="1f1f1f"/>
          <w:rtl w:val="0"/>
        </w:rPr>
        <w:t xml:space="preserve"> In a complex industrial environment, predictive maintenance models and energy forecasting models frequently produce contradictory outputs. Layer 4 resolves these via a mathematically weighted Conflict Arbitration Logic component driven by a strict hierarchical priority stub: </w:t>
      </w:r>
      <w:r w:rsidDel="00000000" w:rsidR="00000000" w:rsidRPr="00000000">
        <w:rPr>
          <w:rFonts w:ascii="Google Sans" w:cs="Google Sans" w:eastAsia="Google Sans" w:hAnsi="Google Sans"/>
          <w:b w:val="1"/>
          <w:bCs w:val="1"/>
          <w:color w:val="1f1f1f"/>
          <w:rtl w:val="0"/>
        </w:rPr>
        <w:t xml:space="preserve">Safety &gt; Compliance &gt;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if a compressor bearing overheats, it triggers a safety risk demanding immediate shutdown. However, shutting down that specific compressor might trigger a sequence where auxiliary pumps spool up to compensate, driving the facility's total power draw past its MSEDCL kVA limit and triggering a massive compliance penalty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Layer 4 intercepts both triggers. It calculates the mathematical weight of the mechanical degradation against the financial penalty. Utilizing dynamic What-If simulations, it identifies alternative paths—such as implementing a staggered 12-minute load-shedding ramp on non-critical HVAC systems—to shed baseline load before initiating the compressor shutdown, satisfying both the safety requirement and the compliance limit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Copy-on-Write Sandbox Isolation:</w:t>
      </w:r>
      <w:r w:rsidDel="00000000" w:rsidR="00000000" w:rsidRPr="00000000">
        <w:rPr>
          <w:rFonts w:ascii="Google Sans" w:cs="Google Sans" w:eastAsia="Google Sans" w:hAnsi="Google Sans"/>
          <w:color w:val="1f1f1f"/>
          <w:rtl w:val="0"/>
        </w:rPr>
        <w:t xml:space="preserve"> To safely execute these predictive simulations, Layer 4 employs staging-isolated What-If sandboxes. When an engineer asks the system, "What if we reduce compressor load by 15%?", the system executes a copy-on-write fork. It pulls a read-only snapshot of the last 24 hours of Layer 3 telemetry into an ephemeral simulation session (sandbox_session_id). This ensures absolute isolation, guaranteeing that simulated scenarios do not pollute the live rolling-history buffer used by the actual real-time anomaly detection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Layer 5: Monetize (Carbon and Cost Engine)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5 focuses entirely on pure financial computation. It merges the physical optimizations outputted by Layer 4 with the complex regional tariff and carbon intensity data stored in Layer 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Carbon Monetization and Legal Guardrails:</w:t>
      </w:r>
      <w:r w:rsidDel="00000000" w:rsidR="00000000" w:rsidRPr="00000000">
        <w:rPr>
          <w:rFonts w:ascii="Google Sans" w:cs="Google Sans" w:eastAsia="Google Sans" w:hAnsi="Google Sans"/>
          <w:color w:val="1f1f1f"/>
          <w:rtl w:val="0"/>
        </w:rPr>
        <w:t xml:space="preserve"> OmniView IQ facilitates automated digital Measurement, Reporting, and Verification (dMRV) aligned with ISO 14064 standards, transforming verifiable energy savings into potential carbon offset tokens suitable for CCTS/CBAM compliance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to strictly delineate between estimated savings and verified, tradable carbon credits (which require third-party registry integration), Layer 5 imposes hardcoded legal boundaries on the user interface. The system explicitly banners all carbon metrics as: </w:t>
      </w:r>
      <w:r w:rsidDel="00000000" w:rsidR="00000000" w:rsidRPr="00000000">
        <w:rPr>
          <w:rFonts w:ascii="Google Sans" w:cs="Google Sans" w:eastAsia="Google Sans" w:hAnsi="Google Sans"/>
          <w:i w:val="1"/>
          <w:iCs w:val="1"/>
          <w:color w:val="1f1f1f"/>
          <w:rtl w:val="0"/>
        </w:rPr>
        <w:t xml:space="preserve">"Estimated dMRV CO2e Savings (Self-Calculated / Non-Registry Certified)"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enterprise buyers never mistake internal ESG tracking metrics for registry-issued financial instruments.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Locked Hero Metrics: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prove immediate ROI during deployments, the Monetize layer aggregates data specifically to feed a pre-configured demo_sales_hero view template. Out of approximately 35 parameters tracked by the platform, six hero metrics are locked for primary visibility:</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Live kVA vs. Contracted Sanctioned Demand Limit:</w:t>
      </w:r>
      <w:r w:rsidDel="00000000" w:rsidR="00000000" w:rsidRPr="00000000">
        <w:rPr>
          <w:rFonts w:ascii="Google Sans" w:cs="Google Sans" w:eastAsia="Google Sans" w:hAnsi="Google Sans"/>
          <w:color w:val="1f1f1f"/>
          <w:rtl w:val="0"/>
        </w:rPr>
        <w:t xml:space="preserve"> Critical for tracking the 15-minute MSEDCL threshold.</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Projected Monthly Demand Penalty Avoided (₹):</w:t>
      </w:r>
      <w:r w:rsidDel="00000000" w:rsidR="00000000" w:rsidRPr="00000000">
        <w:rPr>
          <w:rFonts w:ascii="Google Sans" w:cs="Google Sans" w:eastAsia="Google Sans" w:hAnsi="Google Sans"/>
          <w:color w:val="1f1f1f"/>
          <w:rtl w:val="0"/>
        </w:rPr>
        <w:t xml:space="preserve"> The immediate financial ROI generated by the system.</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High-Waste Idling Motor Load (%):</w:t>
      </w:r>
      <w:r w:rsidDel="00000000" w:rsidR="00000000" w:rsidRPr="00000000">
        <w:rPr>
          <w:rFonts w:ascii="Google Sans" w:cs="Google Sans" w:eastAsia="Google Sans" w:hAnsi="Google Sans"/>
          <w:color w:val="1f1f1f"/>
          <w:rtl w:val="0"/>
        </w:rPr>
        <w:t xml:space="preserve"> Identifying machines consuming active power without contributing to production.</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Specific Energy Consumption (SEC):</w:t>
      </w:r>
      <w:r w:rsidDel="00000000" w:rsidR="00000000" w:rsidRPr="00000000">
        <w:rPr>
          <w:rFonts w:ascii="Google Sans" w:cs="Google Sans" w:eastAsia="Google Sans" w:hAnsi="Google Sans"/>
          <w:color w:val="1f1f1f"/>
          <w:rtl w:val="0"/>
        </w:rPr>
        <w:t xml:space="preserve"> Measured in kWh per unit of output, proving holistic operational efficiency.</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Estimated CO2e Avoided (Tonnes):</w:t>
      </w:r>
      <w:r w:rsidDel="00000000" w:rsidR="00000000" w:rsidRPr="00000000">
        <w:rPr>
          <w:rFonts w:ascii="Google Sans" w:cs="Google Sans" w:eastAsia="Google Sans" w:hAnsi="Google Sans"/>
          <w:color w:val="1f1f1f"/>
          <w:rtl w:val="0"/>
        </w:rPr>
        <w:t xml:space="preserve"> Providing the foundation for ESG reporting.</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Active What-If Savings Potential (₹/month):</w:t>
      </w:r>
      <w:r w:rsidDel="00000000" w:rsidR="00000000" w:rsidRPr="00000000">
        <w:rPr>
          <w:rFonts w:ascii="Google Sans" w:cs="Google Sans" w:eastAsia="Google Sans" w:hAnsi="Google Sans"/>
          <w:color w:val="1f1f1f"/>
          <w:rtl w:val="0"/>
        </w:rPr>
        <w:t xml:space="preserve"> Showcasing the untapped financial value waiting to be authorized by the facility manager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Layer 6: Deliver &amp; Act (Routing and Human-in-the-Loop Execution)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prescriptive intelligence does not languish on a dashboard, the OmniView IQ architecture splits the delivery mechanism into a dedicated Layer 6. This layer packages the ranked candidate actions and routes them to the correct human operator or external system (e.g., ERP, CMMS)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the immense physical liabilities inherent in automated edge actuation (e.g., automatically shutting down a rolling mill), OmniView IQ enforces a strict Human-in-the-Loop (HITL) hierarchy. The system surfaces highly detailed, plain-language action cards (e.g., "Delay Furnace 2 startup by 8 minutes to avoid load overlap; projected savings ₹14,000") to the authorized operator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Only upon human authorization does the system hand curtailment instructions back to the edge gateways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Closing Feedback Loop 3:</w:t>
      </w:r>
      <w:r w:rsidDel="00000000" w:rsidR="00000000" w:rsidRPr="00000000">
        <w:rPr>
          <w:rFonts w:ascii="Google Sans" w:cs="Google Sans" w:eastAsia="Google Sans" w:hAnsi="Google Sans"/>
          <w:color w:val="1f1f1f"/>
          <w:rtl w:val="0"/>
        </w:rPr>
        <w:t xml:space="preserve"> Chronic false-positive alerts cause operator fatigue, leading to ignored dashboards. Layer 6 incorporates a grounded "Feedback Loop 3" to allow thresholds to self-correct. When an operator flags a persistent false positive, the system does not allow arbitrary numerical edits to the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the system backtests historical telemetry against multiple candidate thresholds within the isolated Digital Twin sandbox. It then presents an evidence-backed recommendation: </w:t>
      </w:r>
      <w:r w:rsidDel="00000000" w:rsidR="00000000" w:rsidRPr="00000000">
        <w:rPr>
          <w:rFonts w:ascii="Google Sans" w:cs="Google Sans" w:eastAsia="Google Sans" w:hAnsi="Google Sans"/>
          <w:i w:val="1"/>
          <w:iCs w:val="1"/>
          <w:color w:val="1f1f1f"/>
          <w:rtl w:val="0"/>
        </w:rPr>
        <w:t xml:space="preserve">"Raising Compressor-01 vibration spike threshold from 4.2 mm/s to 4.8 mm/s reduces false alarms by 82% while maintaining a 14% safety buffer below OEM critical limit."</w:t>
      </w:r>
      <w:r w:rsidDel="00000000" w:rsidR="00000000" w:rsidRPr="00000000">
        <w:rPr>
          <w:rFonts w:ascii="Google Sans" w:cs="Google Sans" w:eastAsia="Google Sans" w:hAnsi="Google Sans"/>
          <w:color w:val="1f1f1f"/>
          <w:rtl w:val="0"/>
        </w:rPr>
        <w:t xml:space="preserve"> The operator approves the empirical adjustment with a single click, permanently resolving the false positive without blindly compromising machine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Granular Monitoring: Vibration, Dynamics, and System Affection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excels at modeling the non-linear relationships between physical metrics. A change in a granular edge value creates ripple effects—system affections—that propagate vertically through the six layers, translating a microscopic mechanical fault into a macroscopic financial insight.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ISO 10816 Vibration Severity Integration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monitors the mechanical health of rotating equipment—such as motors, pumps, fans, and compressors—by natively integrating the ISO 10816 (now ISO 20816) mechanical vibration standard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Using Layer 1 MEMS accelerometers, the system captures broad-band Root Mean Square (RMS) vibration velocity in mm/s over a frequency range of 10 to 1000 Hz across three axes (horizontal, vertical, and axial) at the machine's bearing housings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severity of a vibration reading is completely relative to the size and mounting of the machine. A reading of 6.2 mm/s RMS indicates unacceptable, dangerous failure for a small 10 kW motor, but is considered a standard, tolerable operational vibration for a massive turbogenerator mounted on a flexible foundation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Layer 0 systematically classifies every monitored asset at the Pune facility into one of four rigid ISO classes: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 I:</w:t>
      </w:r>
      <w:r w:rsidDel="00000000" w:rsidR="00000000" w:rsidRPr="00000000">
        <w:rPr>
          <w:rFonts w:ascii="Google Sans" w:cs="Google Sans" w:eastAsia="Google Sans" w:hAnsi="Google Sans"/>
          <w:color w:val="1f1f1f"/>
          <w:rtl w:val="0"/>
        </w:rPr>
        <w:t xml:space="preserve"> Small machines (typically ≤ 15 kW), such as small auxiliary pumps and standard electric motors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 II:</w:t>
      </w:r>
      <w:r w:rsidDel="00000000" w:rsidR="00000000" w:rsidRPr="00000000">
        <w:rPr>
          <w:rFonts w:ascii="Google Sans" w:cs="Google Sans" w:eastAsia="Google Sans" w:hAnsi="Google Sans"/>
          <w:color w:val="1f1f1f"/>
          <w:rtl w:val="0"/>
        </w:rPr>
        <w:t xml:space="preserve"> Medium machines (15 to 75 kW), or larger machines up to 300 kW rigidly mounted on special foundations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 III:</w:t>
      </w:r>
      <w:r w:rsidDel="00000000" w:rsidR="00000000" w:rsidRPr="00000000">
        <w:rPr>
          <w:rFonts w:ascii="Google Sans" w:cs="Google Sans" w:eastAsia="Google Sans" w:hAnsi="Google Sans"/>
          <w:color w:val="1f1f1f"/>
          <w:rtl w:val="0"/>
        </w:rPr>
        <w:t xml:space="preserve"> Large machines (&gt; 300 kW) mounted on massive, heavy, rigid foundations (e.g., large centrifugal compressors)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 IV:</w:t>
      </w:r>
      <w:r w:rsidDel="00000000" w:rsidR="00000000" w:rsidRPr="00000000">
        <w:rPr>
          <w:rFonts w:ascii="Google Sans" w:cs="Google Sans" w:eastAsia="Google Sans" w:hAnsi="Google Sans"/>
          <w:color w:val="1f1f1f"/>
          <w:rtl w:val="0"/>
        </w:rPr>
        <w:t xml:space="preserve"> Large machines (&gt; 300 kW) mounted on lightweight, flexible foundations capable of dampening significant kinetic energy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continuously evaluates the incoming telemetry against four strict severity boundaries, dynamically adjusting limits based on the machine's assigned class: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 10816 Severity Zone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Machine Condition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Required by OmniView IQ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 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 typical of a newly commissioned or fully reconditioned machine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 reading as the machine's optimal statistical baseline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Unrestricted, safe long-term operation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periodic monitoring; log data points for trend analysis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Unsatisfactory (Tolerance)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operation not recommended; tolerable only for a limited timeframe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Layer 6 Anomaly Warning; automatically generate a maintenance planning ticket (e.g., scheduled balancing)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Zone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Unacceptable (Danger)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vibration levels capable of causing catastrophic, immediate machine damage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Layer 6 Critical Alert; recommend immediate machine shutdown based on conflict arbitration logic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System Affection and Cascading Value Changes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how the system displays affection according to changes in values, consider the granular degradation of a Class II 50 kW industrial blower operating in the Pune facility:</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Mechanical Drift (Layer 1):</w:t>
      </w:r>
      <w:r w:rsidDel="00000000" w:rsidR="00000000" w:rsidRPr="00000000">
        <w:rPr>
          <w:rFonts w:ascii="Google Sans" w:cs="Google Sans" w:eastAsia="Google Sans" w:hAnsi="Google Sans"/>
          <w:color w:val="1f1f1f"/>
          <w:rtl w:val="0"/>
        </w:rPr>
        <w:t xml:space="preserve"> Over four weeks, minor particulate buildup on the blower's rotor causes a progressive weight imbalance. The RMS vibration velocity at the primary bearing creeps from a healthy 1.2 mm/s (Zone B) up to a concerning 5.1 mm/s (Zone 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Telemetry Flagging (Layer 2 &amp; 3):</w:t>
      </w:r>
      <w:r w:rsidDel="00000000" w:rsidR="00000000" w:rsidRPr="00000000">
        <w:rPr>
          <w:rFonts w:ascii="Google Sans" w:cs="Google Sans" w:eastAsia="Google Sans" w:hAnsi="Google Sans"/>
          <w:color w:val="1f1f1f"/>
          <w:rtl w:val="0"/>
        </w:rPr>
        <w:t xml:space="preserve"> Layer 2 time-syncs the data. Layer 3’s anomaly detection engine recognizes that the data has statistically deviated from the ML baseline and breached the static ISO 10816 Zone C boundary for a Class II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Cross-Metric Correlation (Layer 3 &amp; 4):</w:t>
      </w:r>
      <w:r w:rsidDel="00000000" w:rsidR="00000000" w:rsidRPr="00000000">
        <w:rPr>
          <w:rFonts w:ascii="Google Sans" w:cs="Google Sans" w:eastAsia="Google Sans" w:hAnsi="Google Sans"/>
          <w:color w:val="1f1f1f"/>
          <w:rtl w:val="0"/>
        </w:rPr>
        <w:t xml:space="preserve"> Rather than just flagging vibration, Layer 3 correlates multiple data streams. It notes that due to the increased mechanical friction caused by the imbalance, the motor is drawing 12% more active power to maintain its required RPM output. Consequently, the Specific Energy Consumption (SEC) of the blower has surged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Financial Mapping (Layer 5):</w:t>
      </w:r>
      <w:r w:rsidDel="00000000" w:rsidR="00000000" w:rsidRPr="00000000">
        <w:rPr>
          <w:rFonts w:ascii="Google Sans" w:cs="Google Sans" w:eastAsia="Google Sans" w:hAnsi="Google Sans"/>
          <w:color w:val="1f1f1f"/>
          <w:rtl w:val="0"/>
        </w:rPr>
        <w:t xml:space="preserve"> Layer 5 receives the excess kWh draw and cross-references it against the active MSEDCL ToD tariff schedule. It calculates that this 12% inefficiency is actively costing the facility ₹4,200 per week in wasted electrical overhead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Prescriptive Delivery (Layer 6):</w:t>
      </w:r>
      <w:r w:rsidDel="00000000" w:rsidR="00000000" w:rsidRPr="00000000">
        <w:rPr>
          <w:rFonts w:ascii="Google Sans" w:cs="Google Sans" w:eastAsia="Google Sans" w:hAnsi="Google Sans"/>
          <w:color w:val="1f1f1f"/>
          <w:rtl w:val="0"/>
        </w:rPr>
        <w:t xml:space="preserve"> The system generates a comprehensive action card. It routes a ticket to the CMMS system for the mechanical team: </w:t>
      </w:r>
      <w:r w:rsidDel="00000000" w:rsidR="00000000" w:rsidRPr="00000000">
        <w:rPr>
          <w:rFonts w:ascii="Google Sans" w:cs="Google Sans" w:eastAsia="Google Sans" w:hAnsi="Google Sans"/>
          <w:i w:val="1"/>
          <w:iCs w:val="1"/>
          <w:color w:val="1f1f1f"/>
          <w:rtl w:val="0"/>
        </w:rPr>
        <w:t xml:space="preserve">"Rotor imbalance detected on Blower 4 (Zone C: 5.1 mm/s). Resulting friction is increasing power draw, costing ₹4,200/week in MSEDCL energy charges. Recommend scheduling dynamic balancing during Sunday's off-peak tariff window to prevent transition to Zone 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this cascade, OmniView IQ ensures that a mechanical vibration is never viewed in isolation; it is immediately translated into its exact financial and operational consequence.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Alerting Architecture and Stakeholder Routing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abandons the traditional "alert broadcast" model, which floods all users with irrelevant notifications. Instead, Layer 6 employs a contextual routing engine. Alerts are dynamically distributed based on the operational severity and the RBAC map defined in Layer 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Stakeholder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Data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Alert Trigger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Delivery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Plant Floor Operator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status, immediate safety, OEE.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10816 Zone D threshold breach; Unexpected machine shutdown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Flashing priority indicator on the Option A 2D schematic dashboard; direct SMS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Remaining Useful Life (RUL), vibration FFT analysis, thermal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10816 Zone C entry; Stator temperature deviating from baseline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CMMS ticket generation; Detailed email report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Facility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15-minute MD forecasts, ToD scheduling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Rolling demand forecast approaching 95% of MSEDCL contract limit; Load shedding recommendation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High-priority mobile app push notification; Dashboard action card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 ESG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accrued utility costs, dMRV carbon limits, projected ROI.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month-end ToD penalty tracking; Achievement of ₹0.75/kVAh incremental rebate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PDF/Excel reports; automated MIS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Granular Edge Cases and Scenario Modeling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system resilience during deployment in a highly complex Indian manufacturing environment, OmniView IQ is rigorously engineered to handle extensive operational edge cases without requiring manual code intervention.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Small Case: Network Partition or Sensor Disconnect</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During routine floor cleaning, a forklift physically severs a Modbus RS-485 communication cable connected to an auxiliary cooling pump.</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w:t>
      </w:r>
      <w:r w:rsidDel="00000000" w:rsidR="00000000" w:rsidRPr="00000000">
        <w:rPr>
          <w:rFonts w:ascii="Google Sans" w:cs="Google Sans" w:eastAsia="Google Sans" w:hAnsi="Google Sans"/>
          <w:color w:val="1f1f1f"/>
          <w:rtl w:val="0"/>
        </w:rPr>
        <w:t xml:space="preserve"> Layer 2’s Offline Buffer instantly detects the packet loss. The system does not immediately crash the facility-wide energy forecasting baseline. The specific node is isolated and marked as OFFLINE_UNPLAGGED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Affection:</w:t>
      </w:r>
      <w:r w:rsidDel="00000000" w:rsidR="00000000" w:rsidRPr="00000000">
        <w:rPr>
          <w:rFonts w:ascii="Google Sans" w:cs="Google Sans" w:eastAsia="Google Sans" w:hAnsi="Google Sans"/>
          <w:color w:val="1f1f1f"/>
          <w:rtl w:val="0"/>
        </w:rPr>
        <w:t xml:space="preserve"> To ensure the critical 15-minute MSEDCL demand calculation remains mathematically sound, Layer 3 temporarily interpolates the missing pump's expected energy draw utilizing the established historical ML baseline. Simultaneously, Layer 6 routes a targeted alert strictly to the local IT/network technician, specifying the exact physical boundary and timestamp of the network failure to expedite cable repair, while plant management is shielded from irrelevant data-packet noise.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Mid-Cycle Operational Change: The Unplanned Machine Shutdown</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At 14:15, a critical 350 kW inductive furnace unexpectedly trips off due to an internal fault. The facility management had been relying on a day-ahead forecast that assumed this furnace would consume baseline power until 18:00.</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w:t>
      </w:r>
      <w:r w:rsidDel="00000000" w:rsidR="00000000" w:rsidRPr="00000000">
        <w:rPr>
          <w:rFonts w:ascii="Google Sans" w:cs="Google Sans" w:eastAsia="Google Sans" w:hAnsi="Google Sans"/>
          <w:color w:val="1f1f1f"/>
          <w:rtl w:val="0"/>
        </w:rPr>
        <w:t xml:space="preserve"> An operator attempts to single-user delete the machine from the dashboard to "clean up" the UI. The system’s HITL governance programmatically blocks this 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Affection:</w:t>
      </w:r>
      <w:r w:rsidDel="00000000" w:rsidR="00000000" w:rsidRPr="00000000">
        <w:rPr>
          <w:rFonts w:ascii="Google Sans" w:cs="Google Sans" w:eastAsia="Google Sans" w:hAnsi="Google Sans"/>
          <w:color w:val="1f1f1f"/>
          <w:rtl w:val="0"/>
        </w:rPr>
        <w:t xml:space="preserve"> Layer 3 immediately forks the active 15-minute peak demand forecast into two distinct mathematical curves: Baseline_Expected_kVA (what the model previously predicted) and Drift_Adjusted_kVA (the new operational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w:t>
      </w:r>
      <w:r w:rsidDel="00000000" w:rsidR="00000000" w:rsidRPr="00000000">
        <w:rPr>
          <w:rFonts w:ascii="Google Sans" w:cs="Google Sans" w:eastAsia="Google Sans" w:hAnsi="Google Sans"/>
          <w:color w:val="1f1f1f"/>
          <w:rtl w:val="0"/>
        </w:rPr>
        <w:t xml:space="preserve"> Layer 6 surfaces an immediate "Drift Penalty" alert to the Facility Manager. This dashboard element does not just show that a machine went offline; it calculates the exact financial loss of the production drift against the MSEDCL tariff, highlighting the non-profitable nature of the downtime and providing irrefutable data for the subsequent root-cause analysis meeting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Worst Case Scenario: The Conflict Arbitration Stress Test</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It is 19:30 on a Wednesday. The Pune facility is currently under the punitive MSEDCL evening Peak ToD tariff window, and current facility load is hovering at a perilous 94% of the contracted Maximum Demand. Simultaneously, a massive Class III turbocompressor experiences a rapid surge in mechanical vibration, crossing abruptly from 6.0 mm/s (Zone B) to 14.5 mm/s (Zone D - Unacceptable)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Conflict:</w:t>
      </w:r>
      <w:r w:rsidDel="00000000" w:rsidR="00000000" w:rsidRPr="00000000">
        <w:rPr>
          <w:rFonts w:ascii="Google Sans" w:cs="Google Sans" w:eastAsia="Google Sans" w:hAnsi="Google Sans"/>
          <w:color w:val="1f1f1f"/>
          <w:rtl w:val="0"/>
        </w:rPr>
        <w:t xml:space="preserve"> The predictive maintenance engine (Layer 3) signals an imminent, catastrophic mechanical failure, demanding an immediate shutdown of the compressor. However, an immediate, hard shutdown of this compressor will cause a rapid pressure collapse in the pneumatic network, forcing three massive auxiliary booster pumps to instantly spin up to 100% load to compensate. This sudden, unmanaged spike in auxiliary load will push the facility's 15-minute average demand to 105% of its MSEDCL contract limit, locking in a devastating 1.5x kVA penalty charge for the entire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 (Layer 4 Component D5):</w:t>
      </w:r>
      <w:r w:rsidDel="00000000" w:rsidR="00000000" w:rsidRPr="00000000">
        <w:rPr>
          <w:rFonts w:ascii="Google Sans" w:cs="Google Sans" w:eastAsia="Google Sans" w:hAnsi="Google Sans"/>
          <w:color w:val="1f1f1f"/>
          <w:rtl w:val="0"/>
        </w:rPr>
        <w:t xml:space="preserve"> The Intelligence layer evaluates the inputs against the Safety &gt; Compliance &gt; Cost arbitration matrix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Safety:</w:t>
      </w:r>
      <w:r w:rsidDel="00000000" w:rsidR="00000000" w:rsidRPr="00000000">
        <w:rPr>
          <w:rFonts w:ascii="Google Sans" w:cs="Google Sans" w:eastAsia="Google Sans" w:hAnsi="Google Sans"/>
          <w:color w:val="1f1f1f"/>
          <w:rtl w:val="0"/>
        </w:rPr>
        <w:t xml:space="preserve"> The compressor is deeply in Zone D. Continued operation risks a catastrophic, life-threatening rotor explosion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Breaching the MSEDCL limit triggers severe financial penalties, but is not physically dangerous.</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Layer 4's What-If Sandbox models a controlled deceleration. Instead of a hard, instantaneous trip, it calculates a 4-minute staggered load-shedding ramp. Scanning the facility, it instantly identifies a non-critical HVAC chiller currently running at 80% capacity that can safely be curtailed.</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w:t>
      </w:r>
      <w:r w:rsidDel="00000000" w:rsidR="00000000" w:rsidRPr="00000000">
        <w:rPr>
          <w:rFonts w:ascii="Google Sans" w:cs="Google Sans" w:eastAsia="Google Sans" w:hAnsi="Google Sans"/>
          <w:color w:val="1f1f1f"/>
          <w:rtl w:val="0"/>
        </w:rPr>
        <w:t xml:space="preserve"> Layer 6 simultaneously issues a command to automatically curtail the chiller (creating immediate kVA headroom) and flashes a critical HITL override card to the operator: </w:t>
      </w:r>
      <w:r w:rsidDel="00000000" w:rsidR="00000000" w:rsidRPr="00000000">
        <w:rPr>
          <w:rFonts w:ascii="Google Sans" w:cs="Google Sans" w:eastAsia="Google Sans" w:hAnsi="Google Sans"/>
          <w:i w:val="1"/>
          <w:iCs w:val="1"/>
          <w:color w:val="1f1f1f"/>
          <w:rtl w:val="0"/>
        </w:rPr>
        <w:t xml:space="preserve">"Zone D Vibration on TurboCompressor. Automated chiller load-shedding initiated to free kVA headroom. Initiate 4-minute emergency ramp-down of Compressor to avoid MSEDCL penalty. Click to execute."</w:t>
      </w:r>
      <w:r w:rsidDel="00000000" w:rsidR="00000000" w:rsidRPr="00000000">
        <w:rPr>
          <w:rFonts w:ascii="Google Sans" w:cs="Google Sans" w:eastAsia="Google Sans" w:hAnsi="Google Sans"/>
          <w:color w:val="1f1f1f"/>
          <w:rtl w:val="0"/>
        </w:rPr>
        <w:t xml:space="preserve"> The safety of the machine is secured, the utility penalty is entirely bypassed, and the exact sequence of events is immutably logged in the dMRV audit trail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Implementation Roadmap and Deployment Strategy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OmniView IQ into a brownfield manufacturing site in Pune requires a structured, multi-phase Work Breakdown Structure (WBS) to ensure accurate baseline establishment and zero disruption to ongoing operations.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Phase 1: Site Discovery and Profile Generation (Weeks 1-2)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 by the Lead Systems Architect and the Hardware Team, deployment begins with the Layer 0 Site Discovery Questionnaire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team physically audits the facility to establish the exact machine inventory, SCADA integration points (Modbus/RS-485), MSEDCL billing parameters, and the Maharashtra grid carbon intensity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the initial stakeholder meeting, a real CT clamp and an ISO 10816-compliant vibration MEMS sensor are physically clamped onto a running motor to prove immediate, sub-minute telemetry ingestion capability to the client, establishing absolute technical credibility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resulting JSON genome is locked and departmental ownership rules are established.</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Phase 2: Hardware Installation and Connectivity (Weeks 3-4)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hardware tiers are deployed. The "Core Power Module" is installed at the main incomers, while "Rotating Modules" are attached to critical motors and compressors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Edge gateways are provisioned on the segregated OT network. PTP/NTP clock synchronization is rigorously verified to guarantee timestamp fidelity across the entire facility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runs silently in the background, allowing Layer 1 and 2 to build a stable historical data repository.</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Phase 3: AI Bootstrapping and Monetization Logic (Weeks 5-8)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by the backend intelligence lead (e.g., Chinmay), Layer 3 operates on its cold-start trajectory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utilizes heuristic Layer 0 thresholds (e.g., standard ISO 10816 mm/s limits) on Day 1, establishes a statistical baseline by Day 5, and fully matures the LSTM/XGBoost predictive models by Day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Layer 5 is activated, aligning the Carbon Credit Monetization module with the ISO 14064 standards and configuring the Data Aggregation &amp; Caching layer for zero-latency dashboard rendering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Phase 4: Full Twin Integration and Rehearsal (Weeks 9-12)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Sprint Management lead (e.g., Piyush) finalizes the rollout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Digital Twin View Renderer is fully integrated, defaulting to the optimized 2D schematic layout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What-If simulation engine is tested rigorously against simulated MSEDCL ToD load-shifting scenarios. Finally, Layer 6 routing (SMS, CMMS) is activated. A comprehensive end-to-end dry-run is conducted—tracking a simulated mechanical fault from edge telemetry, through the sandbox simulation, to the impact scorer, and out to the dashboard recommendation—proving the system's capacity to master both industrial complexity and financial output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Dive_ Product Architecture &amp; Strategy.pdf</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EcoGridIQ Pro Visual Identity Asset, uploaded:EcoGridIQ Pro Visual Identity Asset</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MSEDCL Summary of HT and LT Tariff effective from April 1, 2020, </w:t>
      </w:r>
      <w:hyperlink r:id="rId12">
        <w:r w:rsidDel="00000000" w:rsidR="00000000" w:rsidRPr="00000000">
          <w:rPr>
            <w:rFonts w:ascii="Google Sans" w:cs="Google Sans" w:eastAsia="Google Sans" w:hAnsi="Google Sans"/>
            <w:color w:val="0000ee"/>
            <w:sz w:val="24"/>
            <w:szCs w:val="24"/>
            <w:u w:val="single"/>
            <w:rtl w:val="0"/>
          </w:rPr>
          <w:t xml:space="preserve">https://www.mahadiscom.in/consumer/wp-content/uploads/2020/03/Press-Note-MSEDCL_English.pdf</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Methodology regarding Power Factor Penalty / Incentive Sr. No. Tariff Code Description 1 HT-I Industry 2 HT-II Commercial 3 HT - MSEDCL, </w:t>
      </w:r>
      <w:hyperlink r:id="rId13">
        <w:r w:rsidDel="00000000" w:rsidR="00000000" w:rsidRPr="00000000">
          <w:rPr>
            <w:rFonts w:ascii="Google Sans" w:cs="Google Sans" w:eastAsia="Google Sans" w:hAnsi="Google Sans"/>
            <w:color w:val="0000ee"/>
            <w:sz w:val="24"/>
            <w:szCs w:val="24"/>
            <w:u w:val="single"/>
            <w:rtl w:val="0"/>
          </w:rPr>
          <w:t xml:space="preserve">https://www.mahadiscom.in/consumer/wp-content/uploads/2018/12/Methodology-PF-Penalty-Incentive.pdf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Maharashtra State Electricity Distribution Co. Ltd., </w:t>
      </w:r>
      <w:hyperlink r:id="rId14">
        <w:r w:rsidDel="00000000" w:rsidR="00000000" w:rsidRPr="00000000">
          <w:rPr>
            <w:rFonts w:ascii="Google Sans" w:cs="Google Sans" w:eastAsia="Google Sans" w:hAnsi="Google Sans"/>
            <w:color w:val="0000ee"/>
            <w:sz w:val="24"/>
            <w:szCs w:val="24"/>
            <w:u w:val="single"/>
            <w:rtl w:val="0"/>
          </w:rPr>
          <w:t xml:space="preserve">https://www.mahadiscom.in/consumer/wp-content/uploads/2018/03/Comm_CircularNo.80.pdf</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MSEDCL Tariff Order FY 2020-21 to 2024-25 | PDF | Solar Power - Scribd,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https://www.scribd.com/document/474189441/PK-Decoding-MSEDCL-TARIFF-29-Jun</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Circular No.341, </w:t>
      </w:r>
      <w:hyperlink r:id="rId16">
        <w:r w:rsidDel="00000000" w:rsidR="00000000" w:rsidRPr="00000000">
          <w:rPr>
            <w:rFonts w:ascii="Google Sans" w:cs="Google Sans" w:eastAsia="Google Sans" w:hAnsi="Google Sans"/>
            <w:color w:val="0000ee"/>
            <w:sz w:val="24"/>
            <w:szCs w:val="24"/>
            <w:u w:val="single"/>
            <w:rtl w:val="0"/>
          </w:rPr>
          <w:t xml:space="preserve">https://www.mahadiscom.in/consumer/wp-content/uploads/2023/04/Commercial-Circular-341-dtd-28.4.2023-MERC-Order-Case-No.-226-of-2022.pdf</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Maharashtra State Electricity Distribution Co. Ltd., </w:t>
      </w:r>
      <w:hyperlink r:id="rId17">
        <w:r w:rsidDel="00000000" w:rsidR="00000000" w:rsidRPr="00000000">
          <w:rPr>
            <w:rFonts w:ascii="Google Sans" w:cs="Google Sans" w:eastAsia="Google Sans" w:hAnsi="Google Sans"/>
            <w:color w:val="0000ee"/>
            <w:sz w:val="24"/>
            <w:szCs w:val="24"/>
            <w:u w:val="single"/>
            <w:rtl w:val="0"/>
          </w:rPr>
          <w:t xml:space="preserve">https://www.mahadiscom.in/consumer/wp-content/uploads/2018/03/Comm_Cir_175.pdf</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ANNEXURE I TARIFF SCHEDULE FOR FY 2023-24 and FY 2024-25 MAHARASHTRA STATE ELECTRICITY DISTRIBUTION CO. LTD. APPROVED TARIFF SCH - Energy Audit Pune, </w:t>
      </w:r>
      <w:hyperlink r:id="rId18">
        <w:r w:rsidDel="00000000" w:rsidR="00000000" w:rsidRPr="00000000">
          <w:rPr>
            <w:rFonts w:ascii="Google Sans" w:cs="Google Sans" w:eastAsia="Google Sans" w:hAnsi="Google Sans"/>
            <w:color w:val="0000ee"/>
            <w:sz w:val="24"/>
            <w:szCs w:val="24"/>
            <w:u w:val="single"/>
            <w:rtl w:val="0"/>
          </w:rPr>
          <w:t xml:space="preserve">https://www.energyauditpune.com/wp-content/uploads/2023/04/APPROVED-TARIFF-SCHEDULE-With-effect-from-1-April-2023.pdf</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MAHARASHTRA STATE ELECTRICITY DISTRIBUTION CO. LTD. Page No.1 of 75., </w:t>
      </w:r>
      <w:hyperlink r:id="rId19">
        <w:r w:rsidDel="00000000" w:rsidR="00000000" w:rsidRPr="00000000">
          <w:rPr>
            <w:rFonts w:ascii="Google Sans" w:cs="Google Sans" w:eastAsia="Google Sans" w:hAnsi="Google Sans"/>
            <w:color w:val="0000ee"/>
            <w:sz w:val="24"/>
            <w:szCs w:val="24"/>
            <w:u w:val="single"/>
            <w:rtl w:val="0"/>
          </w:rPr>
          <w:t xml:space="preserve">https://www.mahadiscom.in/consumer/wp-content/uploads/2020/09/Comm-Circular-323-MYT-Tariff-for-FY-2020-21.pdf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the MAHARASHTRA ELECTRICITY REGULATORY COMMISSION World Trade Centre, Centre No.1, 13th Floor, Cuffe Parade, Mumbai, </w:t>
      </w:r>
      <w:hyperlink r:id="rId20">
        <w:r w:rsidDel="00000000" w:rsidR="00000000" w:rsidRPr="00000000">
          <w:rPr>
            <w:rFonts w:ascii="Google Sans" w:cs="Google Sans" w:eastAsia="Google Sans" w:hAnsi="Google Sans"/>
            <w:color w:val="0000ee"/>
            <w:sz w:val="24"/>
            <w:szCs w:val="24"/>
            <w:u w:val="single"/>
            <w:rtl w:val="0"/>
          </w:rPr>
          <w:t xml:space="preserve">https://www.mahadiscom.in/consumer/wp-content/uploads/2025/08/MSEDCL-MYT-Order_Case_no_217-of-2024.pdf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OPC Unified Architecture (OPC UA)? - PTC, </w:t>
      </w:r>
      <w:hyperlink r:id="rId21">
        <w:r w:rsidDel="00000000" w:rsidR="00000000" w:rsidRPr="00000000">
          <w:rPr>
            <w:rFonts w:ascii="Google Sans" w:cs="Google Sans" w:eastAsia="Google Sans" w:hAnsi="Google Sans"/>
            <w:color w:val="0000ee"/>
            <w:sz w:val="24"/>
            <w:szCs w:val="24"/>
            <w:u w:val="single"/>
            <w:rtl w:val="0"/>
          </w:rPr>
          <w:t xml:space="preserve">https://www.ptc.com/en/technologies/iiot/industrial-automation/opc/opc-ua</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 vibration severity zones: the guide - ROVIK, </w:t>
      </w:r>
      <w:hyperlink r:id="rId22">
        <w:r w:rsidDel="00000000" w:rsidR="00000000" w:rsidRPr="00000000">
          <w:rPr>
            <w:rFonts w:ascii="Google Sans" w:cs="Google Sans" w:eastAsia="Google Sans" w:hAnsi="Google Sans"/>
            <w:color w:val="0000ee"/>
            <w:sz w:val="24"/>
            <w:szCs w:val="24"/>
            <w:u w:val="single"/>
            <w:rtl w:val="0"/>
          </w:rPr>
          <w:t xml:space="preserve">https://rovikapp.com/en/blog/zones-severite-vibratoire-iso-10816.html</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Severity Chart | ISO 10816 / 20816 Quick — Vibromera, </w:t>
      </w:r>
      <w:hyperlink r:id="rId23">
        <w:r w:rsidDel="00000000" w:rsidR="00000000" w:rsidRPr="00000000">
          <w:rPr>
            <w:rFonts w:ascii="Google Sans" w:cs="Google Sans" w:eastAsia="Google Sans" w:hAnsi="Google Sans"/>
            <w:color w:val="0000ee"/>
            <w:sz w:val="24"/>
            <w:szCs w:val="24"/>
            <w:u w:val="single"/>
            <w:rtl w:val="0"/>
          </w:rPr>
          <w:t xml:space="preserve">https://vibromera.eu/calculators/vibration-severity-chart/</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 Vibration Limits Guide | PDF | Machines | Motion (Physics) - Scribd,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https://www.scribd.com/document/967769099/ISO-10816-Quick-Reference</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Vibration Severity Classes (ISO 10816) - DRG Motor, </w:t>
      </w:r>
      <w:hyperlink r:id="rId25">
        <w:r w:rsidDel="00000000" w:rsidR="00000000" w:rsidRPr="00000000">
          <w:rPr>
            <w:rFonts w:ascii="Google Sans" w:cs="Google Sans" w:eastAsia="Google Sans" w:hAnsi="Google Sans"/>
            <w:color w:val="0000ee"/>
            <w:sz w:val="24"/>
            <w:szCs w:val="24"/>
            <w:u w:val="single"/>
            <w:rtl w:val="0"/>
          </w:rPr>
          <w:t xml:space="preserve">https://drgmotor.com/en/blog/electric-motors/motor-vibration-severity-iso</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Simplified Vibration Monitoring: ISO 10816-3 Guidelines, </w:t>
      </w:r>
      <w:hyperlink r:id="rId26">
        <w:r w:rsidDel="00000000" w:rsidR="00000000" w:rsidRPr="00000000">
          <w:rPr>
            <w:rFonts w:ascii="Google Sans" w:cs="Google Sans" w:eastAsia="Google Sans" w:hAnsi="Google Sans"/>
            <w:color w:val="0000ee"/>
            <w:sz w:val="24"/>
            <w:szCs w:val="24"/>
            <w:u w:val="single"/>
            <w:rtl w:val="0"/>
          </w:rPr>
          <w:t xml:space="preserve">https://www.cbmconnect.com/simplified-vibration-monitoring-iso-10816-3-guidelines/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hadiscom.in/consumer/wp-content/uploads/2025/08/MSEDCL-MYT-Order_Case_no_217-of-2024.pdf" TargetMode="External"/><Relationship Id="rId22" Type="http://schemas.openxmlformats.org/officeDocument/2006/relationships/hyperlink" Target="https://rovikapp.com/en/blog/zones-severite-vibratoire-iso-10816.html" TargetMode="External"/><Relationship Id="rId21" Type="http://schemas.openxmlformats.org/officeDocument/2006/relationships/hyperlink" Target="https://www.ptc.com/en/technologies/iiot/industrial-automation/opc/opc-ua" TargetMode="External"/><Relationship Id="rId24" Type="http://schemas.openxmlformats.org/officeDocument/2006/relationships/hyperlink" Target="https://www.scribd.com/document/967769099/ISO-10816-Quick-Reference" TargetMode="External"/><Relationship Id="rId23" Type="http://schemas.openxmlformats.org/officeDocument/2006/relationships/hyperlink" Target="https://vibromera.eu/calculators/vibration-severity-ch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cbmconnect.com/simplified-vibration-monitoring-iso-10816-3-guidelines/" TargetMode="External"/><Relationship Id="rId25" Type="http://schemas.openxmlformats.org/officeDocument/2006/relationships/hyperlink" Target="https://drgmotor.com/en/blog/electric-motors/motor-vibration-severity-iso"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www.mahadiscom.in/consumer/wp-content/uploads/2018/12/Methodology-PF-Penalty-Incentive.pdf" TargetMode="External"/><Relationship Id="rId12" Type="http://schemas.openxmlformats.org/officeDocument/2006/relationships/hyperlink" Target="https://www.mahadiscom.in/consumer/wp-content/uploads/2020/03/Press-Note-MSEDCL_English.pdf" TargetMode="External"/><Relationship Id="rId15" Type="http://schemas.openxmlformats.org/officeDocument/2006/relationships/hyperlink" Target="https://www.scribd.com/document/474189441/PK-Decoding-MSEDCL-TARIFF-29-Jun" TargetMode="External"/><Relationship Id="rId14" Type="http://schemas.openxmlformats.org/officeDocument/2006/relationships/hyperlink" Target="https://www.mahadiscom.in/consumer/wp-content/uploads/2018/03/Comm_CircularNo.80.pdf" TargetMode="External"/><Relationship Id="rId17" Type="http://schemas.openxmlformats.org/officeDocument/2006/relationships/hyperlink" Target="https://www.mahadiscom.in/consumer/wp-content/uploads/2018/03/Comm_Cir_175.pdf" TargetMode="External"/><Relationship Id="rId16" Type="http://schemas.openxmlformats.org/officeDocument/2006/relationships/hyperlink" Target="https://www.mahadiscom.in/consumer/wp-content/uploads/2023/04/Commercial-Circular-341-dtd-28.4.2023-MERC-Order-Case-No.-226-of-2022.pdf" TargetMode="External"/><Relationship Id="rId19" Type="http://schemas.openxmlformats.org/officeDocument/2006/relationships/hyperlink" Target="https://www.mahadiscom.in/consumer/wp-content/uploads/2020/09/Comm-Circular-323-MYT-Tariff-for-FY-2020-21.pdf" TargetMode="External"/><Relationship Id="rId18" Type="http://schemas.openxmlformats.org/officeDocument/2006/relationships/hyperlink" Target="https://www.energyauditpune.com/wp-content/uploads/2023/04/APPROVED-TARIFF-SCHEDULE-With-effect-from-1-April-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