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OmniView IQ: Unified Industrial IoT &amp; Enterprise Analytics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Unified Platform 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 energy landscape is characterized by a fundamental operational disconnect: facility engineering teams monitor machine health independently of financial consequence, while plant management views energy consumption reactively upon receiving utility bills. Decisions are thus made as delayed reactions to costs that have already been locked 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Originally bifurcated into two distinct product propositions—one focused on electricity billing pain ("EcoGrid") and the other on comprehensive factory telemetry ("OmniView")—the platform has been definitively consolidated into a singular, unified architecture: </w:t>
      </w:r>
      <w:r w:rsidDel="00000000" w:rsidR="00000000" w:rsidRPr="00000000">
        <w:rPr>
          <w:rFonts w:ascii="Google Sans" w:cs="Google Sans" w:eastAsia="Google Sans" w:hAnsi="Google Sans"/>
          <w:b w:val="1"/>
          <w:bCs w:val="1"/>
          <w:color w:val="1f1f1f"/>
          <w:rtl w:val="0"/>
        </w:rPr>
        <w:t xml:space="preserve">OmniView IQ</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OmniView IQ is a ground-up, end-to-end Industrial Internet of Things (IIoT) operating system designed for environments with zero existing digital infrastructure. It utilizes non-invasive sensors buffering to a localized edge gateway, which then transfers data to the cloud for computation.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Realistic Default Values &amp; Operational Baselines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a successful deployment within a 2-to-3 week window without relying on existing PLCs or SCADA systems, the system models its anomaly detection against realistic default thresholds common in heavy manufacturing (specifically modeled on Single-Stage ISBM PET machinery like the Nissei ASB-70DPH)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Apparent Power &amp; Demand (kVA):</w:t>
      </w:r>
      <w:r w:rsidDel="00000000" w:rsidR="00000000" w:rsidRPr="00000000">
        <w:rPr>
          <w:rFonts w:ascii="Google Sans" w:cs="Google Sans" w:eastAsia="Google Sans" w:hAnsi="Google Sans"/>
          <w:color w:val="1f1f1f"/>
          <w:rtl w:val="0"/>
        </w:rPr>
        <w:t xml:space="preserve"> Baseline factory connected load is assumed at 75–150 kW per line. Contracted Maximum Demand (MD) is assumed at 500 kVA.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Mechanical Vibration (ISO 10816-3):</w:t>
      </w:r>
      <w:r w:rsidDel="00000000" w:rsidR="00000000" w:rsidRPr="00000000">
        <w:rPr>
          <w:rFonts w:ascii="Google Sans" w:cs="Google Sans" w:eastAsia="Google Sans" w:hAnsi="Google Sans"/>
          <w:color w:val="1f1f1f"/>
          <w:rtl w:val="0"/>
        </w:rPr>
        <w:t xml:space="preserve"> For medium-sized Class II rotating machinery (15kW to 300kW) mounted on rigid foundations, continuous RMS velocity up to 2.8 mm/s is "Normal". Between 2.8 mm/s and 7.1 mm/s is "Marginal/Restricted". Anything above 7.1 mm/s is "Critical" and actively causing bearing damage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Pneumatic Pressure:</w:t>
      </w:r>
      <w:r w:rsidDel="00000000" w:rsidR="00000000" w:rsidRPr="00000000">
        <w:rPr>
          <w:rFonts w:ascii="Google Sans" w:cs="Google Sans" w:eastAsia="Google Sans" w:hAnsi="Google Sans"/>
          <w:color w:val="1f1f1f"/>
          <w:rtl w:val="0"/>
        </w:rPr>
        <w:t xml:space="preserve"> High-pressure multi-stage compressors operate between 25 and 40 bar. A slow decay in pressure while the compressor is loaded indicates invisible pneumatic leaks, which typically waste 20% to 30% of compressor energy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Thermal Ranges:</w:t>
      </w:r>
      <w:r w:rsidDel="00000000" w:rsidR="00000000" w:rsidRPr="00000000">
        <w:rPr>
          <w:rFonts w:ascii="Google Sans" w:cs="Google Sans" w:eastAsia="Google Sans" w:hAnsi="Google Sans"/>
          <w:color w:val="1f1f1f"/>
          <w:rtl w:val="0"/>
        </w:rPr>
        <w:t xml:space="preserve"> ISBM injection barrel heating zones normally maintain equilibrium at 250°C to 260°C.</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Financial Assumptions (MSEDCL Tariff)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facility finance teams often withhold exact billing details during initial pilots, the platform assumes standard Maharashtra State Electricity Distribution Co. Ltd. (MSEDCL) HT-I Industrial Tariffs: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Demand Charge:</w:t>
      </w:r>
      <w:r w:rsidDel="00000000" w:rsidR="00000000" w:rsidRPr="00000000">
        <w:rPr>
          <w:rFonts w:ascii="Google Sans" w:cs="Google Sans" w:eastAsia="Google Sans" w:hAnsi="Google Sans"/>
          <w:color w:val="1f1f1f"/>
          <w:rtl w:val="0"/>
        </w:rPr>
        <w:t xml:space="preserve"> ~INR 400 per kVA per month, billed against actual recorded maximum demand or 75% of contracted demand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Energy Charge:</w:t>
      </w:r>
      <w:r w:rsidDel="00000000" w:rsidR="00000000" w:rsidRPr="00000000">
        <w:rPr>
          <w:rFonts w:ascii="Google Sans" w:cs="Google Sans" w:eastAsia="Google Sans" w:hAnsi="Google Sans"/>
          <w:color w:val="1f1f1f"/>
          <w:rtl w:val="0"/>
        </w:rPr>
        <w:t xml:space="preserve"> ~INR 5.47 to INR 6.85 per kVAh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Time of Day (ToD):</w:t>
      </w:r>
      <w:r w:rsidDel="00000000" w:rsidR="00000000" w:rsidRPr="00000000">
        <w:rPr>
          <w:rFonts w:ascii="Google Sans" w:cs="Google Sans" w:eastAsia="Google Sans" w:hAnsi="Google Sans"/>
          <w:color w:val="1f1f1f"/>
          <w:rtl w:val="0"/>
        </w:rPr>
        <w:t xml:space="preserve"> 20% surcharge during evening peaks (17:00 - 24:00) and up to 25% rebate during solar hours (09:00 - 17:00)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Penalty Implication:</w:t>
      </w:r>
      <w:r w:rsidDel="00000000" w:rsidR="00000000" w:rsidRPr="00000000">
        <w:rPr>
          <w:rFonts w:ascii="Google Sans" w:cs="Google Sans" w:eastAsia="Google Sans" w:hAnsi="Google Sans"/>
          <w:color w:val="1f1f1f"/>
          <w:rtl w:val="0"/>
        </w:rPr>
        <w:t xml:space="preserve"> A single uncoordinated machine start-up exceeding the 500 kVA contract limit for a 15-minute rolling window triggers a permanent monthly penalty ranging from INR 15,000 to INR 40,000.</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Hardware Inventory &amp; Edge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absolute independence from the facility's legacy systems, OmniView IQ installs its own non-invasive hardware network.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Sensor / Hardware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Make &amp;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&amp; Monitored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 Cost (INR)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Availability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 Gateway / Central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Teltonika RUT956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Modbus polling, offline flash buffering, MQTT cloud bridge via 4G LTE.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22,000 – 29,000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(Standard Stock)</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Energy 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 MFM384-C-CE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3-Phase power, kVA, kW, PF, THD up to 31st harmonic.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 – 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Very High</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Transformers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 SCCT-30/20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Non-invasive split-core CTs; snaps around live cables without stopping production.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2,000 /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Very High</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Vibration &amp; Temp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Banner Q45 or NCD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Wireless MEMS triaxial accelerometer capturing ISO 10816-3 RMS velocity and surface temp.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 – 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Medium (1-2 Weeks)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Pressure Transmitter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WIKA A-10 (40 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 4-20mA sensor tapped into existing gauge ports to track pressure decay.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(Pune local)</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6-Layer Operating System Architecture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0 (Site Configuration Profile):</w:t>
      </w:r>
      <w:r w:rsidDel="00000000" w:rsidR="00000000" w:rsidRPr="00000000">
        <w:rPr>
          <w:rFonts w:ascii="Google Sans" w:cs="Google Sans" w:eastAsia="Google Sans" w:hAnsi="Google Sans"/>
          <w:color w:val="1f1f1f"/>
          <w:rtl w:val="0"/>
        </w:rPr>
        <w:t xml:space="preserve"> The JSON genome of the factory containing multi-tenant rules. No downstream layer contains hardcoded data.</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1 (Sense):</w:t>
      </w:r>
      <w:r w:rsidDel="00000000" w:rsidR="00000000" w:rsidRPr="00000000">
        <w:rPr>
          <w:rFonts w:ascii="Google Sans" w:cs="Google Sans" w:eastAsia="Google Sans" w:hAnsi="Google Sans"/>
          <w:color w:val="1f1f1f"/>
          <w:rtl w:val="0"/>
        </w:rPr>
        <w:t xml:space="preserve"> Protocol-specific adapters pulling telemetry from the standalone sensors listed above via RS-485 and Modbus RTU.</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2 (Connect):</w:t>
      </w:r>
      <w:r w:rsidDel="00000000" w:rsidR="00000000" w:rsidRPr="00000000">
        <w:rPr>
          <w:rFonts w:ascii="Google Sans" w:cs="Google Sans" w:eastAsia="Google Sans" w:hAnsi="Google Sans"/>
          <w:color w:val="1f1f1f"/>
          <w:rtl w:val="0"/>
        </w:rPr>
        <w:t xml:space="preserve"> The Teltonika Edge Gateway. It synchronizes clocks via NTP to ensure the 15-minute billing window perfectly aligns with utility meters. It provides the "Offline Buffer"—if 4G drops, data caches locally and chronologically backfills upon reconnection.</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3 (Model):</w:t>
      </w:r>
      <w:r w:rsidDel="00000000" w:rsidR="00000000" w:rsidRPr="00000000">
        <w:rPr>
          <w:rFonts w:ascii="Google Sans" w:cs="Google Sans" w:eastAsia="Google Sans" w:hAnsi="Google Sans"/>
          <w:color w:val="1f1f1f"/>
          <w:rtl w:val="0"/>
        </w:rPr>
        <w:t xml:space="preserve"> The analytics and Digital Twin engine. It executes the Cold-Start Baseline: Day 1 uses static nameplate heuristic rules (e.g., &gt;7.1 mm/s vibration), Day 5 uses statistical baseline tracking, and Day 10+ locks in the fully calibrated Machine Learning predictive baseline.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4 (Intelligence):</w:t>
      </w:r>
      <w:r w:rsidDel="00000000" w:rsidR="00000000" w:rsidRPr="00000000">
        <w:rPr>
          <w:rFonts w:ascii="Google Sans" w:cs="Google Sans" w:eastAsia="Google Sans" w:hAnsi="Google Sans"/>
          <w:color w:val="1f1f1f"/>
          <w:rtl w:val="0"/>
        </w:rPr>
        <w:t xml:space="preserve"> The business logic and What-If simulation sandbox. It runs Component D5 (Conflict Arbitration Logic) to decide actions when maintenance and energy goals contradict.</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5 (Monetize):</w:t>
      </w:r>
      <w:r w:rsidDel="00000000" w:rsidR="00000000" w:rsidRPr="00000000">
        <w:rPr>
          <w:rFonts w:ascii="Google Sans" w:cs="Google Sans" w:eastAsia="Google Sans" w:hAnsi="Google Sans"/>
          <w:color w:val="1f1f1f"/>
          <w:rtl w:val="0"/>
        </w:rPr>
        <w:t xml:space="preserve"> Financial computations. Translates kWh to Rupees via MSEDCL tariffs and computes Estimated CO2e Avoided for ESG reporting.</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6 (Deliver &amp; Act):</w:t>
      </w:r>
      <w:r w:rsidDel="00000000" w:rsidR="00000000" w:rsidRPr="00000000">
        <w:rPr>
          <w:rFonts w:ascii="Google Sans" w:cs="Google Sans" w:eastAsia="Google Sans" w:hAnsi="Google Sans"/>
          <w:color w:val="1f1f1f"/>
          <w:rtl w:val="0"/>
        </w:rPr>
        <w:t xml:space="preserve"> The notification routing engine enforcing Human-in-the-Loop (HITL) hierarchy before execution.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Alerting Architecture &amp; Stakeholder Routing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OmniView IQ avoids alert fatigue by contextually routing data only to the stakeholder capable of acting on it.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Stakeholder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Data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Alert 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Delivery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Plant Floor Operator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safety, OEE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Sudden breakdown; ISO 10816 Zone D threshold breach (&gt;7.1 mm/s).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SMS; Flashing red indicator on floor jumbo display.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Maintenance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Remaining Useful Life (RUL), vibration/thermal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10816 Zone C entry (5.1 mm/s); Motor running current drifting 10% above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CMMS ticket; detailed email with asset history.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Facility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15-min MD forecasts, load scheduling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Rolling kVA forecast reaching 95% of contract limit at minute 11 of the 15-min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High-priority mobile app push; Dashboard "What-If" action card.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Finance / ESG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Accrued ToD costs, ROI, Carbon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Month-end penalty tracking; Incremental ToD rebates achieved.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Scheduled PDF/Excel automated MIS generation.</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System Affection &amp; Granular Edge Cases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maps cascading value changes dynamically. Below are three escalating edge cases detailing exactly how the system reacts.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Small Case: Network Partition / Sensor Disconnect</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A forklift severs the RS-485 cable to the chiller's energy meter.</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Affection:</w:t>
      </w:r>
      <w:r w:rsidDel="00000000" w:rsidR="00000000" w:rsidRPr="00000000">
        <w:rPr>
          <w:rFonts w:ascii="Google Sans" w:cs="Google Sans" w:eastAsia="Google Sans" w:hAnsi="Google Sans"/>
          <w:color w:val="1f1f1f"/>
          <w:rtl w:val="0"/>
        </w:rPr>
        <w:t xml:space="preserve"> Layer 2's buffer instantly tags the node as OFFLINE_UNPLAGGED.</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Action:</w:t>
      </w:r>
      <w:r w:rsidDel="00000000" w:rsidR="00000000" w:rsidRPr="00000000">
        <w:rPr>
          <w:rFonts w:ascii="Google Sans" w:cs="Google Sans" w:eastAsia="Google Sans" w:hAnsi="Google Sans"/>
          <w:color w:val="1f1f1f"/>
          <w:rtl w:val="0"/>
        </w:rPr>
        <w:t xml:space="preserve"> Layer 3 does not crash the facility forecast; it temporarily interpolates the chiller's expected kVA based on the historical baseline. Layer 6 strictly routes an alert to the IT/Network admin with the exact timestamp of failure, shielding the Plant Manager from irrelevant packet-loss noise.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Mid-Cycle Case: The Unplanned Machine Shutdown</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A 150 kW furnace unexpectedly trips offline at 14:15. An operator tries to delete the machine from the dashboard to "clean up" the error view.</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Affection:</w:t>
      </w:r>
      <w:r w:rsidDel="00000000" w:rsidR="00000000" w:rsidRPr="00000000">
        <w:rPr>
          <w:rFonts w:ascii="Google Sans" w:cs="Google Sans" w:eastAsia="Google Sans" w:hAnsi="Google Sans"/>
          <w:color w:val="1f1f1f"/>
          <w:rtl w:val="0"/>
        </w:rPr>
        <w:t xml:space="preserve"> Layer 0's HITL governance strictly blocks single-user machine deletion.</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Action:</w:t>
      </w:r>
      <w:r w:rsidDel="00000000" w:rsidR="00000000" w:rsidRPr="00000000">
        <w:rPr>
          <w:rFonts w:ascii="Google Sans" w:cs="Google Sans" w:eastAsia="Google Sans" w:hAnsi="Google Sans"/>
          <w:color w:val="1f1f1f"/>
          <w:rtl w:val="0"/>
        </w:rPr>
        <w:t xml:space="preserve"> Layer 3 immediately forks the active 15-minute peak demand calculation into two lines: Baseline_Expected_kVA and Drift_Adjusted_kVA. Layer 6 generates a "Drift Penalty" alert, calculating the exact financial loss in production and unused energy overhead caused by the sudden trip, delivering facts for the post-mortem analysis.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Worst Case: The Conflict Arbitration Stress Test (Component D5)</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At 19:30 (MSEDCL Peak ToD Hours), the facility is drawing 480 kVA of its 500 kVA limit. Suddenly, the primary high-pressure compressor's bearing vibration spikes to 14.5 mm/s (Critical Zone D).</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Conflict:</w:t>
      </w:r>
      <w:r w:rsidDel="00000000" w:rsidR="00000000" w:rsidRPr="00000000">
        <w:rPr>
          <w:rFonts w:ascii="Google Sans" w:cs="Google Sans" w:eastAsia="Google Sans" w:hAnsi="Google Sans"/>
          <w:color w:val="1f1f1f"/>
          <w:rtl w:val="0"/>
        </w:rPr>
        <w:t xml:space="preserve"> Layer 3 (Maintenance) demands an emergency compressor shutdown to prevent a rotor explosion (Safety). However, shutting it down causes a pressure collapse, forcing three backup pumps to immediately spool to 100% load. This will spike the 15-minute rolling average to 550 kVA, guaranteeing a ₹40,000 utility penalty (Compliance).</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Action (Component D5):</w:t>
      </w:r>
      <w:r w:rsidDel="00000000" w:rsidR="00000000" w:rsidRPr="00000000">
        <w:rPr>
          <w:rFonts w:ascii="Google Sans" w:cs="Google Sans" w:eastAsia="Google Sans" w:hAnsi="Google Sans"/>
          <w:color w:val="1f1f1f"/>
          <w:rtl w:val="0"/>
        </w:rPr>
        <w:t xml:space="preserve"> Layer 4 evaluates the Safety &gt; Compliance &gt; Cost hierarchy. Using the What-If isolated sandbox, it tests a resolution.</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Resolution:</w:t>
      </w:r>
      <w:r w:rsidDel="00000000" w:rsidR="00000000" w:rsidRPr="00000000">
        <w:rPr>
          <w:rFonts w:ascii="Google Sans" w:cs="Google Sans" w:eastAsia="Google Sans" w:hAnsi="Google Sans"/>
          <w:color w:val="1f1f1f"/>
          <w:rtl w:val="0"/>
        </w:rPr>
        <w:t xml:space="preserve"> Instead of a hard trip, the system calculates a 4-minute staggered deceleration of the compressor while identifying an active 50 kW HVAC unit that can be temporarily curtailed. It generates an immediate HITL Action Card: </w:t>
      </w:r>
      <w:r w:rsidDel="00000000" w:rsidR="00000000" w:rsidRPr="00000000">
        <w:rPr>
          <w:rFonts w:ascii="Google Sans" w:cs="Google Sans" w:eastAsia="Google Sans" w:hAnsi="Google Sans"/>
          <w:i w:val="1"/>
          <w:iCs w:val="1"/>
          <w:color w:val="1f1f1f"/>
          <w:rtl w:val="0"/>
        </w:rPr>
        <w:t xml:space="preserve">"Shed HVAC load now. Decelerating compressor over 4 minutes to safely transition pressure. Action avoids catastrophic rotor failure AND prevents ₹40,000 MSEDCL penalty."</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3-Week Execution Plan</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 1 (Cold-Start &amp; Baseline):</w:t>
      </w:r>
      <w:r w:rsidDel="00000000" w:rsidR="00000000" w:rsidRPr="00000000">
        <w:rPr>
          <w:rFonts w:ascii="Google Sans" w:cs="Google Sans" w:eastAsia="Google Sans" w:hAnsi="Google Sans"/>
          <w:color w:val="1f1f1f"/>
          <w:rtl w:val="0"/>
        </w:rPr>
        <w:t xml:space="preserve"> Install the Teltonika gateway, Selec meters, and split-core CTs with zero production downtime. The system captures actual energy bleed during scheduled idle shifts ("phantom runs") to establish the undeniable financial baseline.</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 2 (Algorithmic Calibration):</w:t>
      </w:r>
      <w:r w:rsidDel="00000000" w:rsidR="00000000" w:rsidRPr="00000000">
        <w:rPr>
          <w:rFonts w:ascii="Google Sans" w:cs="Google Sans" w:eastAsia="Google Sans" w:hAnsi="Google Sans"/>
          <w:color w:val="1f1f1f"/>
          <w:rtl w:val="0"/>
        </w:rPr>
        <w:t xml:space="preserve"> The Layer 3 ML engine matures past Day 10. The rolling 15-minute kVA calculation runs in parallel with the utility meter to capture uncoordinated load overlaps (e.g., heaters and compressors starting together).</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 3 (Financial Proof &amp; Delivery):</w:t>
      </w:r>
      <w:r w:rsidDel="00000000" w:rsidR="00000000" w:rsidRPr="00000000">
        <w:rPr>
          <w:rFonts w:ascii="Google Sans" w:cs="Google Sans" w:eastAsia="Google Sans" w:hAnsi="Google Sans"/>
          <w:color w:val="1f1f1f"/>
          <w:rtl w:val="0"/>
        </w:rPr>
        <w:t xml:space="preserve"> Populate the executive dashboard with real data, verifying the Specific Energy Consumption (SEC) and exact ₹ values of demand penalties avoided. Final handover to plant management.</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ASB-70DPH ASB-70DPW | Nissei ASB, </w:t>
      </w:r>
      <w:hyperlink r:id="rId6">
        <w:r w:rsidDel="00000000" w:rsidR="00000000" w:rsidRPr="00000000">
          <w:rPr>
            <w:rFonts w:ascii="Google Sans" w:cs="Google Sans" w:eastAsia="Google Sans" w:hAnsi="Google Sans"/>
            <w:color w:val="0000ee"/>
            <w:sz w:val="24"/>
            <w:szCs w:val="24"/>
            <w:u w:val="single"/>
            <w:rtl w:val="0"/>
          </w:rPr>
          <w:t xml:space="preserve">https://www.nisseiasb.co.jp/en/products/catalogs/pdf/asb70dph-asb70dpw_201206_en.pdf</w:t>
        </w:r>
      </w:hyperlink>
      <w:r w:rsidDel="00000000" w:rsidR="00000000" w:rsidRPr="00000000">
        <w:rPr>
          <w:rtl w:val="0"/>
        </w:rPr>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ASB-70DPH ASB-70DPW | Nissei ASB, </w:t>
      </w:r>
      <w:hyperlink r:id="rId7">
        <w:r w:rsidDel="00000000" w:rsidR="00000000" w:rsidRPr="00000000">
          <w:rPr>
            <w:rFonts w:ascii="Google Sans" w:cs="Google Sans" w:eastAsia="Google Sans" w:hAnsi="Google Sans"/>
            <w:color w:val="0000ee"/>
            <w:sz w:val="24"/>
            <w:szCs w:val="24"/>
            <w:u w:val="single"/>
            <w:rtl w:val="0"/>
          </w:rPr>
          <w:t xml:space="preserve">https://www.nisseiasb.co.jp/en/products/catalogs/pdf/asb70dph-asb70dpw_201510_en.pdf</w:t>
        </w:r>
      </w:hyperlink>
      <w:r w:rsidDel="00000000" w:rsidR="00000000" w:rsidRPr="00000000">
        <w:rPr>
          <w:rtl w:val="0"/>
        </w:rPr>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10816 Vibration Limits Overview | PDF | Home &amp; Garden | Computers - Scribd, </w:t>
      </w:r>
      <w:hyperlink r:id="rId8">
        <w:r w:rsidDel="00000000" w:rsidR="00000000" w:rsidRPr="00000000">
          <w:rPr>
            <w:rFonts w:ascii="Google Sans" w:cs="Google Sans" w:eastAsia="Google Sans" w:hAnsi="Google Sans"/>
            <w:color w:val="0000ee"/>
            <w:sz w:val="24"/>
            <w:szCs w:val="24"/>
            <w:u w:val="single"/>
            <w:rtl w:val="0"/>
          </w:rPr>
          <w:t xml:space="preserve">https://www.scribd.com/doc/100941122/93616775-Vibration-Limits-as-Per-Iso-10816-Standards-2</w:t>
        </w:r>
      </w:hyperlink>
      <w:r w:rsidDel="00000000" w:rsidR="00000000" w:rsidRPr="00000000">
        <w:rPr>
          <w:rtl w:val="0"/>
        </w:rPr>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10816-3 Vibration Severity Chart | PDF | Technology &amp; Engineering - Scribd, </w:t>
      </w:r>
      <w:hyperlink r:id="rId9">
        <w:r w:rsidDel="00000000" w:rsidR="00000000" w:rsidRPr="00000000">
          <w:rPr>
            <w:rFonts w:ascii="Google Sans" w:cs="Google Sans" w:eastAsia="Google Sans" w:hAnsi="Google Sans"/>
            <w:color w:val="0000ee"/>
            <w:sz w:val="24"/>
            <w:szCs w:val="24"/>
            <w:u w:val="single"/>
            <w:rtl w:val="0"/>
          </w:rPr>
          <w:t xml:space="preserve">https://www.scribd.com/doc/238323686/velocity-chart-pdf</w:t>
        </w:r>
      </w:hyperlink>
      <w:r w:rsidDel="00000000" w:rsidR="00000000" w:rsidRPr="00000000">
        <w:rPr>
          <w:rtl w:val="0"/>
        </w:rPr>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ISO 10816-3 Vibration Severity Table - DSP Analytic, </w:t>
      </w:r>
      <w:hyperlink r:id="rId10">
        <w:r w:rsidDel="00000000" w:rsidR="00000000" w:rsidRPr="00000000">
          <w:rPr>
            <w:rFonts w:ascii="Google Sans" w:cs="Google Sans" w:eastAsia="Google Sans" w:hAnsi="Google Sans"/>
            <w:color w:val="0000ee"/>
            <w:sz w:val="24"/>
            <w:szCs w:val="24"/>
            <w:u w:val="single"/>
            <w:rtl w:val="0"/>
          </w:rPr>
          <w:t xml:space="preserve">https://dspanalytic.com/en/vibrations/understanding-the-iso-10816-3-vibration-severity-table/</w:t>
        </w:r>
      </w:hyperlink>
      <w:r w:rsidDel="00000000" w:rsidR="00000000" w:rsidRPr="00000000">
        <w:rPr>
          <w:rtl w:val="0"/>
        </w:rPr>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Compressed Air Leak Detection – Ultrasonic - Elion Technologies, </w:t>
      </w:r>
      <w:hyperlink r:id="rId11">
        <w:r w:rsidDel="00000000" w:rsidR="00000000" w:rsidRPr="00000000">
          <w:rPr>
            <w:rFonts w:ascii="Google Sans" w:cs="Google Sans" w:eastAsia="Google Sans" w:hAnsi="Google Sans"/>
            <w:color w:val="0000ee"/>
            <w:sz w:val="24"/>
            <w:szCs w:val="24"/>
            <w:u w:val="single"/>
            <w:rtl w:val="0"/>
          </w:rPr>
          <w:t xml:space="preserve">https://elion.co.in/compressed-air-leak-detection-services/</w:t>
        </w:r>
      </w:hyperlink>
      <w:r w:rsidDel="00000000" w:rsidR="00000000" w:rsidRPr="00000000">
        <w:rPr>
          <w:rtl w:val="0"/>
        </w:rPr>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Maharashtra Electricity Tariff 2025-26 | PDF - Scribd,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https://www.scribd.com/document/869024051/Tariff-Revision-for-FY-2025-26-to-FY-2029-30</w:t>
        </w:r>
      </w:hyperlink>
      <w:r w:rsidDel="00000000" w:rsidR="00000000" w:rsidRPr="00000000">
        <w:rPr>
          <w:rtl w:val="0"/>
        </w:rPr>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 BESS Payback for Factories in India: 2026 CFO Guide | MGetEnergy, </w:t>
      </w:r>
      <w:hyperlink r:id="rId13">
        <w:r w:rsidDel="00000000" w:rsidR="00000000" w:rsidRPr="00000000">
          <w:rPr>
            <w:rFonts w:ascii="Google Sans" w:cs="Google Sans" w:eastAsia="Google Sans" w:hAnsi="Google Sans"/>
            <w:color w:val="0000ee"/>
            <w:sz w:val="24"/>
            <w:szCs w:val="24"/>
            <w:u w:val="single"/>
            <w:rtl w:val="0"/>
          </w:rPr>
          <w:t xml:space="preserve">https://www.mgetenergy.com/blogs/solar-bess-cfo-avoided-cost-2026/</w:t>
        </w:r>
      </w:hyperlink>
      <w:r w:rsidDel="00000000" w:rsidR="00000000" w:rsidRPr="00000000">
        <w:rPr>
          <w:rtl w:val="0"/>
        </w:rPr>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Teltonika RUT955 Cellular Wifi Industrial Router Service Provider from Pune - Prosoftek Corporation, </w:t>
      </w:r>
      <w:hyperlink r:id="rId14">
        <w:r w:rsidDel="00000000" w:rsidR="00000000" w:rsidRPr="00000000">
          <w:rPr>
            <w:rFonts w:ascii="Google Sans" w:cs="Google Sans" w:eastAsia="Google Sans" w:hAnsi="Google Sans"/>
            <w:color w:val="0000ee"/>
            <w:sz w:val="24"/>
            <w:szCs w:val="24"/>
            <w:u w:val="single"/>
            <w:rtl w:val="0"/>
          </w:rPr>
          <w:t xml:space="preserve">https://www.prosoftektracking.com/industrial-router.html</w:t>
        </w:r>
      </w:hyperlink>
      <w:r w:rsidDel="00000000" w:rsidR="00000000" w:rsidRPr="00000000">
        <w:rPr>
          <w:rtl w:val="0"/>
        </w:rPr>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Teltonika RUT906 Industrial Router IoT Gateway 4G Service Provider from Pune - BluBoxx Communication Private Limited, </w:t>
      </w:r>
      <w:hyperlink r:id="rId15">
        <w:r w:rsidDel="00000000" w:rsidR="00000000" w:rsidRPr="00000000">
          <w:rPr>
            <w:rFonts w:ascii="Google Sans" w:cs="Google Sans" w:eastAsia="Google Sans" w:hAnsi="Google Sans"/>
            <w:color w:val="0000ee"/>
            <w:sz w:val="24"/>
            <w:szCs w:val="24"/>
            <w:u w:val="single"/>
            <w:rtl w:val="0"/>
          </w:rPr>
          <w:t xml:space="preserve">https://www.bluboxx.in/teltonika-industrial-router-iot-gateway-vpn-router.html</w:t>
        </w:r>
      </w:hyperlink>
      <w:r w:rsidDel="00000000" w:rsidR="00000000" w:rsidRPr="00000000">
        <w:rPr>
          <w:rtl w:val="0"/>
        </w:rPr>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Teltonika RUT 956 LTE RS 232/RS 485 Industrial 4G LTE (Cat 4), 3G, 2G - Grabnpay, </w:t>
      </w:r>
      <w:hyperlink r:id="rId16">
        <w:r w:rsidDel="00000000" w:rsidR="00000000" w:rsidRPr="00000000">
          <w:rPr>
            <w:rFonts w:ascii="Google Sans" w:cs="Google Sans" w:eastAsia="Google Sans" w:hAnsi="Google Sans"/>
            <w:color w:val="0000ee"/>
            <w:sz w:val="24"/>
            <w:szCs w:val="24"/>
            <w:u w:val="single"/>
            <w:rtl w:val="0"/>
          </w:rPr>
          <w:t xml:space="preserve">https://www.grabnpay.in/products/teltonika-rut-956-lte-rs-232-rs-485-industrial-4g-lte-cat-4-3g-2g-cellular-router-with-dual-sim-wlan-gps-openvpn-dyndns</w:t>
        </w:r>
      </w:hyperlink>
      <w:r w:rsidDel="00000000" w:rsidR="00000000" w:rsidRPr="00000000">
        <w:rPr>
          <w:rtl w:val="0"/>
        </w:rPr>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 MFM384-C-CE Multifunction Meter - Parma India, </w:t>
      </w:r>
      <w:hyperlink r:id="rId17">
        <w:r w:rsidDel="00000000" w:rsidR="00000000" w:rsidRPr="00000000">
          <w:rPr>
            <w:rFonts w:ascii="Google Sans" w:cs="Google Sans" w:eastAsia="Google Sans" w:hAnsi="Google Sans"/>
            <w:color w:val="0000ee"/>
            <w:sz w:val="24"/>
            <w:szCs w:val="24"/>
            <w:u w:val="single"/>
            <w:rtl w:val="0"/>
          </w:rPr>
          <w:t xml:space="preserve">https://parmaindia.com/selec-mfm384-c-ce-8-digits-lcd-display-three-phase-digital-multifunction-meter-rs485-communication-pulse-output-size-96x96mm-panel-mount.html</w:t>
        </w:r>
      </w:hyperlink>
      <w:r w:rsidDel="00000000" w:rsidR="00000000" w:rsidRPr="00000000">
        <w:rPr>
          <w:rtl w:val="0"/>
        </w:rPr>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 Multifunction Meter - Latest Price, Dealers &amp; Retailers in India - IndiaMART, </w:t>
      </w:r>
      <w:hyperlink r:id="rId18">
        <w:r w:rsidDel="00000000" w:rsidR="00000000" w:rsidRPr="00000000">
          <w:rPr>
            <w:rFonts w:ascii="Google Sans" w:cs="Google Sans" w:eastAsia="Google Sans" w:hAnsi="Google Sans"/>
            <w:color w:val="0000ee"/>
            <w:sz w:val="24"/>
            <w:szCs w:val="24"/>
            <w:u w:val="single"/>
            <w:rtl w:val="0"/>
          </w:rPr>
          <w:t xml:space="preserve">https://dir.indiamart.com/impcat/selec-multifunction-meter.html</w:t>
        </w:r>
      </w:hyperlink>
      <w:r w:rsidDel="00000000" w:rsidR="00000000" w:rsidRPr="00000000">
        <w:rPr>
          <w:rtl w:val="0"/>
        </w:rPr>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 SCCT-30/20-300/5A-VA2.5-CL0.5-CE Split Core Current Transformer - ElectrixZone, </w:t>
      </w:r>
      <w:hyperlink r:id="rId19">
        <w:r w:rsidDel="00000000" w:rsidR="00000000" w:rsidRPr="00000000">
          <w:rPr>
            <w:rFonts w:ascii="Google Sans" w:cs="Google Sans" w:eastAsia="Google Sans" w:hAnsi="Google Sans"/>
            <w:color w:val="0000ee"/>
            <w:sz w:val="24"/>
            <w:szCs w:val="24"/>
            <w:u w:val="single"/>
            <w:rtl w:val="0"/>
          </w:rPr>
          <w:t xml:space="preserve">https://electrixzone.com/product/selec-scct-30-20-300-5a-va2-5-cl0-5-ce-split-core-current-transformer/</w:t>
        </w:r>
      </w:hyperlink>
      <w:r w:rsidDel="00000000" w:rsidR="00000000" w:rsidRPr="00000000">
        <w:rPr>
          <w:rtl w:val="0"/>
        </w:rPr>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 SCCT-30/20-100/5A-VA1-CL1-CE Current Transformers-Split Core at ₹ 1500/piece | in Mumbai | ID: 2853125860512 - IndiaMART, </w:t>
      </w:r>
      <w:hyperlink r:id="rId20">
        <w:r w:rsidDel="00000000" w:rsidR="00000000" w:rsidRPr="00000000">
          <w:rPr>
            <w:rFonts w:ascii="Google Sans" w:cs="Google Sans" w:eastAsia="Google Sans" w:hAnsi="Google Sans"/>
            <w:color w:val="0000ee"/>
            <w:sz w:val="24"/>
            <w:szCs w:val="24"/>
            <w:u w:val="single"/>
            <w:rtl w:val="0"/>
          </w:rPr>
          <w:t xml:space="preserve">https://www.indiamart.com/proddetail/selec-scct-30-20-100-5a-va1-cl1-ce-current-transformers-split-core-2853125860512.html</w:t>
        </w:r>
      </w:hyperlink>
      <w:r w:rsidDel="00000000" w:rsidR="00000000" w:rsidRPr="00000000">
        <w:rPr>
          <w:rtl w:val="0"/>
        </w:rPr>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DX80N9Q45THA Banner Engineering | Mouser India, </w:t>
      </w:r>
      <w:hyperlink r:id="rId21">
        <w:r w:rsidDel="00000000" w:rsidR="00000000" w:rsidRPr="00000000">
          <w:rPr>
            <w:rFonts w:ascii="Google Sans" w:cs="Google Sans" w:eastAsia="Google Sans" w:hAnsi="Google Sans"/>
            <w:color w:val="0000ee"/>
            <w:sz w:val="24"/>
            <w:szCs w:val="24"/>
            <w:u w:val="single"/>
            <w:rtl w:val="0"/>
          </w:rPr>
          <w:t xml:space="preserve">https://www.mouser.in/ProductDetail/Banner-Engineering/DX80N9Q45THA?qs=vvQtp7zwQdMX0hBrvxCQ6A%3D%3D</w:t>
        </w:r>
      </w:hyperlink>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Wika Pressure Transmitter in New Delhi - IndiaMART, </w:t>
      </w:r>
      <w:hyperlink r:id="rId22">
        <w:r w:rsidDel="00000000" w:rsidR="00000000" w:rsidRPr="00000000">
          <w:rPr>
            <w:rFonts w:ascii="Google Sans" w:cs="Google Sans" w:eastAsia="Google Sans" w:hAnsi="Google Sans"/>
            <w:color w:val="0000ee"/>
            <w:sz w:val="24"/>
            <w:szCs w:val="24"/>
            <w:u w:val="single"/>
            <w:rtl w:val="0"/>
          </w:rPr>
          <w:t xml:space="preserve">https://dir.indiamart.com/new-delhi/wika-pressure-transmitter.html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diamart.com/proddetail/selec-scct-30-20-100-5a-va1-cl1-ce-current-transformers-split-core-2853125860512.html" TargetMode="External"/><Relationship Id="rId11" Type="http://schemas.openxmlformats.org/officeDocument/2006/relationships/hyperlink" Target="https://elion.co.in/compressed-air-leak-detection-services/" TargetMode="External"/><Relationship Id="rId22" Type="http://schemas.openxmlformats.org/officeDocument/2006/relationships/hyperlink" Target="https://dir.indiamart.com/new-delhi/wika-pressure-transmitter.html" TargetMode="External"/><Relationship Id="rId10" Type="http://schemas.openxmlformats.org/officeDocument/2006/relationships/hyperlink" Target="https://dspanalytic.com/en/vibrations/understanding-the-iso-10816-3-vibration-severity-table/" TargetMode="External"/><Relationship Id="rId21" Type="http://schemas.openxmlformats.org/officeDocument/2006/relationships/hyperlink" Target="https://www.mouser.in/ProductDetail/Banner-Engineering/DX80N9Q45THA?qs=vvQtp7zwQdMX0hBrvxCQ6A%3D%3D" TargetMode="External"/><Relationship Id="rId13" Type="http://schemas.openxmlformats.org/officeDocument/2006/relationships/hyperlink" Target="https://www.mgetenergy.com/blogs/solar-bess-cfo-avoided-cost-2026/" TargetMode="External"/><Relationship Id="rId12" Type="http://schemas.openxmlformats.org/officeDocument/2006/relationships/hyperlink" Target="https://www.scribd.com/document/869024051/Tariff-Revision-for-FY-2025-26-to-FY-2029-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238323686/velocity-chart-pdf" TargetMode="External"/><Relationship Id="rId15" Type="http://schemas.openxmlformats.org/officeDocument/2006/relationships/hyperlink" Target="https://www.bluboxx.in/teltonika-industrial-router-iot-gateway-vpn-router.html" TargetMode="External"/><Relationship Id="rId14" Type="http://schemas.openxmlformats.org/officeDocument/2006/relationships/hyperlink" Target="https://www.prosoftektracking.com/industrial-router.html" TargetMode="External"/><Relationship Id="rId17" Type="http://schemas.openxmlformats.org/officeDocument/2006/relationships/hyperlink" Target="https://parmaindia.com/selec-mfm384-c-ce-8-digits-lcd-display-three-phase-digital-multifunction-meter-rs485-communication-pulse-output-size-96x96mm-panel-mount.html" TargetMode="External"/><Relationship Id="rId16" Type="http://schemas.openxmlformats.org/officeDocument/2006/relationships/hyperlink" Target="https://www.grabnpay.in/products/teltonika-rut-956-lte-rs-232-rs-485-industrial-4g-lte-cat-4-3g-2g-cellular-router-with-dual-sim-wlan-gps-openvpn-dyndns" TargetMode="External"/><Relationship Id="rId5" Type="http://schemas.openxmlformats.org/officeDocument/2006/relationships/styles" Target="styles.xml"/><Relationship Id="rId19" Type="http://schemas.openxmlformats.org/officeDocument/2006/relationships/hyperlink" Target="https://electrixzone.com/product/selec-scct-30-20-300-5a-va2-5-cl0-5-ce-split-core-current-transformer/" TargetMode="External"/><Relationship Id="rId6" Type="http://schemas.openxmlformats.org/officeDocument/2006/relationships/hyperlink" Target="https://www.nisseiasb.co.jp/en/products/catalogs/pdf/asb70dph-asb70dpw_201206_en.pdf" TargetMode="External"/><Relationship Id="rId18" Type="http://schemas.openxmlformats.org/officeDocument/2006/relationships/hyperlink" Target="https://dir.indiamart.com/impcat/selec-multifunction-meter.html" TargetMode="External"/><Relationship Id="rId7" Type="http://schemas.openxmlformats.org/officeDocument/2006/relationships/hyperlink" Target="https://www.nisseiasb.co.jp/en/products/catalogs/pdf/asb70dph-asb70dpw_201510_en.pdf" TargetMode="External"/><Relationship Id="rId8" Type="http://schemas.openxmlformats.org/officeDocument/2006/relationships/hyperlink" Target="https://www.scribd.com/doc/100941122/93616775-Vibration-Limits-as-Per-Iso-10816-Standards-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