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x8fnnsufi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Business Insights from Task 1: Exploratory Data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w77c779yw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the analysis of customer, transaction, and product data, we derived key business insights that can help inform decision-making. This report highlights spending behavior, regional trends, product performance, and customer segmentation to identify growth opportunities and enhance customer engagement.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9jss80pdh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Insights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yt1f2ggtr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Spending Behavior of Customers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customers spend within a specific range, while a small number of customers show significantly higher spending levels. These high-value customers contribute disproportionately to revenue and should be targeted with exclusive loyalty programs or personalized discounts to enhance retention.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ozkgb4et1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Regional Distribution of Customers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 regions have significantly higher customer numbers. Allocating more marketing resources and operational infrastructure to these regions can drive growth. Underrepresented regions present potential areas for market expansion.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3530956kl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Average Spending by Region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regions with fewer customers exhibit higher average spending. These affluent regions present opportunities for upselling and introducing premium product lines. Tailored campaigns can maximize revenue in these markets.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ow9ih9iq8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Product Categories Driving Revenue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few product categories dominate revenue, while others lag. High-performing categories should receive more focus through promotional campaigns. Low-performing categories require further investigation to address potential issues like pricing, demand, or marketing gaps.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cuex1o6kp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Seasonality or Trends in Transactions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Peaks and troughs in daily sales indicate seasonal demand fluctuations. Preparing for high-demand periods with adequate stock and targeted campaigns can maximize profits, while optimizing resources during low-demand periods minimizes costs.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3oy74b0m1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Key Customers Driving Revenue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top 10 customers account for a significant portion of spending. These customers should be nurtured with exclusive benefits such as early access to sales, personalized recommendations, or loyalty programs.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dn1kqeqs5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Transaction Volume and Frequency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 customers show higher transaction counts, while some customers are one-time buyers. Retention efforts, such as email campaigns and repeat-purchase discounts, can convert one-time buyers into loyal customers.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t35ue74li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Underperforming Product Categories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 categories underperform in sales. These categories need deeper analysis to determine if the issue lies in low demand, poor marketing, or pricing strategies. Bundling or promotional offers may help.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5xe4nson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Outlier Spending Patterns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small group of customers spends significantly more than the average customer. This group represents an opportunity for premium offerings such as exclusive bundles or memberships.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ydr7kpm8w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Growth Opportunities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regions and categories show low sales but have untapped potential based on market trends. Focused marketing and regional promotions can capture new demand.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1i5vmuqsc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loyalty programs for high-spending customers and offer premium memberships.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marketing budgets in high-density regions and explore untapped areas.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promoting high-performing categories and reevaluating low-performing ones.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sales spikes with adequate inventory and seasonal promotions.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one-time buyers with campaigns and incentives to drive repeat purchases.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these insights, the business can strengthen customer relationships, optimize operations, and identify growth opportunities effectively.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