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bCs/>
        </w:rPr>
        <w:t xml:space="preserve">JOB WORK AND CONTRACT MANUFACTURING AGREEMENT</w:t>
      </w:r>
    </w:p>
    <w:p>
      <w:r>
        <w:t xml:space="preserve">This </w:t>
      </w:r>
      <w:r>
        <w:rPr>
          <w:b/>
          <w:bCs/>
        </w:rPr>
        <w:t xml:space="preserve">Job Work and Contract Manufacturing Agreement</w:t>
      </w:r>
      <w:r>
        <w:t xml:space="preserve"> (“Agreement”) is entered into on this 18th day of April</w:t>
      </w:r>
      <w:r>
        <w:rPr>
          <w:b/>
          <w:bCs/>
        </w:rPr>
        <w:t xml:space="preserve">, 2026</w:t>
      </w:r>
      <w:r>
        <w:t xml:space="preserve"> (“Effective Date”)</w:t>
      </w:r>
    </w:p>
    <w:p>
      <w:r>
        <w:rPr>
          <w:b/>
          <w:bCs/>
        </w:rPr>
        <w:t xml:space="preserve">BY AND BETWEEN</w:t>
      </w:r>
    </w:p>
    <w:p>
      <w:r>
        <w:rPr>
          <w:b/>
          <w:bCs/>
        </w:rPr>
        <w:t xml:space="preserve">M/s Annamalai Knit Works</w:t>
      </w:r>
      <w:r>
        <w:t xml:space="preserve">, a partnership firm registered under the Indian Partnership Act, 1932 (Registrar of Firms, Coimbatore, Registration No. </w:t>
      </w:r>
      <w:r>
        <w:rPr>
          <w:b/>
          <w:bCs/>
        </w:rPr>
        <w:t xml:space="preserve">214/2011</w:t>
      </w:r>
      <w:r>
        <w:t xml:space="preserve">), having its registered office at </w:t>
      </w:r>
      <w:r>
        <w:rPr>
          <w:b/>
          <w:bCs/>
        </w:rPr>
        <w:t xml:space="preserve">Survey No. 118/2, Kangeyam Road, Tirupur, Tamil Nadu 641604</w:t>
      </w:r>
      <w:r>
        <w:t xml:space="preserve">, bearing Udyam Registration No. </w:t>
      </w:r>
      <w:r>
        <w:rPr>
          <w:b/>
          <w:bCs/>
        </w:rPr>
        <w:t xml:space="preserve">UDYAM-TN-28-0094317</w:t>
      </w:r>
      <w:r>
        <w:t xml:space="preserve"> and GSTIN </w:t>
      </w:r>
      <w:r>
        <w:rPr>
          <w:b/>
          <w:bCs/>
        </w:rPr>
        <w:t xml:space="preserve">33AAEFA5512K1ZR</w:t>
      </w:r>
      <w:r>
        <w:t xml:space="preserve">, hereinafter referred to as the </w:t>
      </w:r>
      <w:r>
        <w:rPr>
          <w:b/>
          <w:bCs/>
        </w:rPr>
        <w:t xml:space="preserve">“Supplier”</w:t>
      </w:r>
      <w:r>
        <w:t xml:space="preserve"> (which expression shall, unless repugnant to the context, include its successors and permitted assigns);</w:t>
      </w:r>
    </w:p>
    <w:p>
      <w:r>
        <w:rPr>
          <w:b/>
          <w:bCs/>
        </w:rPr>
        <w:t xml:space="preserve">AND</w:t>
      </w:r>
    </w:p>
    <w:p>
      <w:r>
        <w:rPr>
          <w:b/>
          <w:bCs/>
        </w:rPr>
        <w:t xml:space="preserve">Coastline Apparel Brands Private Limited</w:t>
      </w:r>
      <w:r>
        <w:t xml:space="preserve">, a company incorporated under the Companies Act, 2013, having its registered office at </w:t>
      </w:r>
      <w:r>
        <w:rPr>
          <w:b/>
          <w:bCs/>
        </w:rPr>
        <w:t xml:space="preserve">Unit No. 9, Andheri Kurla Road, Marol, Andheri (East), Mumbai, Maharashtra 400059</w:t>
      </w:r>
      <w:r>
        <w:t xml:space="preserve">, bearing CIN </w:t>
      </w:r>
      <w:r>
        <w:rPr>
          <w:b/>
          <w:bCs/>
        </w:rPr>
        <w:t xml:space="preserve">U18101MH2013PTC245376</w:t>
      </w:r>
      <w:r>
        <w:t xml:space="preserve"> and GSTIN </w:t>
      </w:r>
      <w:r>
        <w:rPr>
          <w:b/>
          <w:bCs/>
        </w:rPr>
        <w:t xml:space="preserve">27AAFCC8264B1ZR</w:t>
      </w:r>
      <w:r>
        <w:t xml:space="preserve">, hereinafter referred to as the </w:t>
      </w:r>
      <w:r>
        <w:rPr>
          <w:b/>
          <w:bCs/>
        </w:rPr>
        <w:t xml:space="preserve">“Customer”</w:t>
      </w:r>
      <w:r>
        <w:t xml:space="preserve"> (which expression shall, unless repugnant to the context, include its successors and permitted assigns).</w:t>
      </w:r>
    </w:p>
    <w:p>
      <w:r>
        <w:t xml:space="preserve">The Supplier and Customer are individually referred to as a </w:t>
      </w:r>
      <w:r>
        <w:rPr>
          <w:b/>
          <w:bCs/>
        </w:rPr>
        <w:t xml:space="preserve">“Party”</w:t>
      </w:r>
      <w:r>
        <w:t xml:space="preserve"> and collectively as the </w:t>
      </w:r>
      <w:r>
        <w:rPr>
          <w:b/>
          <w:bCs/>
        </w:rPr>
        <w:t xml:space="preserve">“Parties.”</w:t>
      </w:r>
    </w:p>
    <w:p>
      <w:pPr>
        <w:keepNext/>
      </w:pPr>
      <w:r>
        <w:rPr>
          <w:b/>
          <w:bCs/>
        </w:rPr>
        <w:t xml:space="preserve">1. JOB WORK AND SCOPE</w:t>
      </w:r>
    </w:p>
    <w:p>
      <w:r>
        <w:t xml:space="preserve">1.1 The Supplier shall carry out the cutting, stitching, finishing and packing of garments (“Job Work”) on fabric and trims supplied by the Customer, in accordance with the terms of this Agreement.</w:t>
      </w:r>
    </w:p>
    <w:p>
      <w:r>
        <w:t xml:space="preserve">1.2 The style, quantity, specifications, approved sample, charges per piece, delivery date and other commercial terms for each lot shall be set out in job work orders (“Orders”) issued by the Customer and accepted by the Supplier.</w:t>
      </w:r>
    </w:p>
    <w:p>
      <w:r>
        <w:t xml:space="preserve">1.3 Every Order the Supplier accepts forms part of this Agreement. If an Order conflicts with this Agreement, this Agreement prevails, unless the Order specifically says that it amends the provision concerned.</w:t>
      </w:r>
    </w:p>
    <w:p>
      <w:pPr>
        <w:keepNext/>
      </w:pPr>
      <w:r>
        <w:rPr>
          <w:b/>
          <w:bCs/>
        </w:rPr>
        <w:t xml:space="preserve">2. JOB WORK ORDERS</w:t>
      </w:r>
    </w:p>
    <w:p>
      <w:r>
        <w:t xml:space="preserve">2.1 The Supplier shall accept each Order or give reasons for declining it within </w:t>
      </w:r>
      <w:r>
        <w:rPr>
          <w:b/>
          <w:bCs/>
        </w:rPr>
        <w:t xml:space="preserve">3 business days</w:t>
      </w:r>
      <w:r>
        <w:t xml:space="preserve"> of receiving it. An Order shall bind the Parties only once accepted by the Supplier.</w:t>
      </w:r>
    </w:p>
    <w:p>
      <w:r>
        <w:t xml:space="preserve">2.2 No modification or cancellation of an accepted Order shall be valid unless mutually agreed in writing by the Parties, and cancellation shall be subject to Clause 13.5.</w:t>
      </w:r>
    </w:p>
    <w:p>
      <w:pPr>
        <w:keepNext/>
      </w:pPr>
      <w:r>
        <w:rPr>
          <w:b/>
          <w:bCs/>
        </w:rPr>
        <w:t xml:space="preserve">3. CUSTOMER-SUPPLIED MATERIALS AND DESIGNS</w:t>
      </w:r>
    </w:p>
    <w:p>
      <w:r>
        <w:t xml:space="preserve">3.1 The Customer shall deliver the fabric, trims, labels, patterns, tech packs and approved samples to the Supplier’s premises by the dates stated in the Order, with a packing list.</w:t>
      </w:r>
    </w:p>
    <w:p>
      <w:r>
        <w:t xml:space="preserve">3.2 The Supplier shall inspect the materials on receipt and notify the Customer of any shortage or damage within </w:t>
      </w:r>
      <w:r>
        <w:rPr>
          <w:b/>
          <w:bCs/>
        </w:rPr>
        <w:t xml:space="preserve">3 business days</w:t>
      </w:r>
      <w:r>
        <w:t xml:space="preserve">. Materials not so reported shall be treated as received in good order.</w:t>
      </w:r>
    </w:p>
    <w:p>
      <w:r>
        <w:t xml:space="preserve">3.3 Customer materials remain the Customer’s property. The Supplier shall keep them segregated and in safe custody, shall maintain fire and burglary insurance for them while in its custody, and bears the risk of their loss or damage from receipt until delivery of the finished goods.</w:t>
      </w:r>
    </w:p>
    <w:p>
      <w:r>
        <w:t xml:space="preserve">3.4 A wastage allowance of up to </w:t>
      </w:r>
      <w:r>
        <w:rPr>
          <w:b/>
          <w:bCs/>
        </w:rPr>
        <w:t xml:space="preserve">3%</w:t>
      </w:r>
      <w:r>
        <w:t xml:space="preserve"> of fabric consumption, or the allowance stated in the Order, is permitted. Wastage above the allowance, and any lost or damaged materials, shall be charged at the Customer’s documented cost of the materials.</w:t>
      </w:r>
    </w:p>
    <w:p>
      <w:r>
        <w:t xml:space="preserve">3.5 On completion of each Order, the Supplier shall return surplus materials and cutting waste, with a reconciliation statement, within </w:t>
      </w:r>
      <w:r>
        <w:rPr>
          <w:b/>
          <w:bCs/>
        </w:rPr>
        <w:t xml:space="preserve">10 days</w:t>
      </w:r>
      <w:r>
        <w:t xml:space="preserve">.</w:t>
      </w:r>
    </w:p>
    <w:p>
      <w:pPr>
        <w:keepNext/>
      </w:pPr>
      <w:r>
        <w:rPr>
          <w:b/>
          <w:bCs/>
        </w:rPr>
        <w:t xml:space="preserve">4. PROCESSING CHARGES AND TAXES</w:t>
      </w:r>
    </w:p>
    <w:p>
      <w:r>
        <w:t xml:space="preserve">4.1 The Job Work charges shall be as specified in the applicable Order and shall remain fixed for that Order once accepted.</w:t>
      </w:r>
    </w:p>
    <w:p>
      <w:r>
        <w:t xml:space="preserve">4.2 Unless expressly stated otherwise, charges shall be exclusive of applicable GST and other statutory taxes. The Supplier shall issue valid tax invoices and the delivery challans required under applicable law.</w:t>
      </w:r>
    </w:p>
    <w:p>
      <w:r>
        <w:t xml:space="preserve">4.3 Any change in applicable taxes or statutory levies after the Effective Date shall be borne by the Party legally liable for such payment.</w:t>
      </w:r>
    </w:p>
    <w:p>
      <w:pPr>
        <w:keepNext/>
      </w:pPr>
      <w:r>
        <w:rPr>
          <w:b/>
          <w:bCs/>
        </w:rPr>
        <w:t xml:space="preserve">5. SAMPLES, DELIVERY AND INSPECTION</w:t>
      </w:r>
    </w:p>
    <w:p>
      <w:r>
        <w:t xml:space="preserve">5.1 The Supplier shall deliver each lot within the timelines specified in the Order and shall promptly notify the Customer of any anticipated delay.</w:t>
      </w:r>
    </w:p>
    <w:p>
      <w:r>
        <w:t xml:space="preserve">5.2 No bulk cutting shall begin until the Customer has approved the pre-production sample in writing, and the Customer shall respond to each sample submission within </w:t>
      </w:r>
      <w:r>
        <w:rPr>
          <w:b/>
          <w:bCs/>
        </w:rPr>
        <w:t xml:space="preserve">3 business days</w:t>
      </w:r>
      <w:r>
        <w:t xml:space="preserve">.</w:t>
      </w:r>
    </w:p>
    <w:p>
      <w:r>
        <w:t xml:space="preserve">5.3 Where delivery is delayed due to a force majeure event under Clause 14, or due to an act or omission of the Customer (including late supply of materials or approvals), the delivery date shall be extended by the period of delay so caused.</w:t>
      </w:r>
    </w:p>
    <w:p>
      <w:r>
        <w:t xml:space="preserve">5.4 The Customer shall inspect each lot within </w:t>
      </w:r>
      <w:r>
        <w:rPr>
          <w:b/>
          <w:bCs/>
        </w:rPr>
        <w:t xml:space="preserve">7 days</w:t>
      </w:r>
      <w:r>
        <w:t xml:space="preserve"> of delivery, using the sampling standard stated in the Order (AQL 2.5 if none is stated), and notify the Supplier of any defect or non-conformity.</w:t>
      </w:r>
    </w:p>
    <w:p>
      <w:r>
        <w:t xml:space="preserve">5.5 If a lot fails inspection, the Supplier shall rework or replace the defective pieces at its own cost within </w:t>
      </w:r>
      <w:r>
        <w:rPr>
          <w:b/>
          <w:bCs/>
        </w:rPr>
        <w:t xml:space="preserve">7 days</w:t>
      </w:r>
      <w:r>
        <w:t xml:space="preserve">, unless the defect results from the Customer’s materials or specifications, in which case rework shall be charged at the rates in the Order.</w:t>
      </w:r>
    </w:p>
    <w:p>
      <w:r>
        <w:t xml:space="preserve">5.6 A lot not rejected within the inspection period shall be deemed accepted.</w:t>
      </w:r>
    </w:p>
    <w:p>
      <w:pPr>
        <w:keepNext/>
      </w:pPr>
      <w:r>
        <w:rPr>
          <w:b/>
          <w:bCs/>
        </w:rPr>
        <w:t xml:space="preserve">6. LIQUIDATED DAMAGES FOR DELAY</w:t>
      </w:r>
    </w:p>
    <w:p>
      <w:r>
        <w:t xml:space="preserve">6.1 If the Supplier fails to deliver a lot by the delivery date stated in the Order (as extended under Clause 5.3) and the delay exceeds a grace period of </w:t>
      </w:r>
      <w:r>
        <w:rPr>
          <w:b/>
          <w:bCs/>
        </w:rPr>
        <w:t xml:space="preserve">5 days</w:t>
      </w:r>
      <w:r>
        <w:t xml:space="preserve">, the Supplier shall pay the Customer liquidated damages at </w:t>
      </w:r>
      <w:r>
        <w:rPr>
          <w:b/>
          <w:bCs/>
        </w:rPr>
        <w:t xml:space="preserve">1% of the Job Work charges for the delayed lot for each week of delay</w:t>
      </w:r>
      <w:r>
        <w:t xml:space="preserve">, up to a maximum of </w:t>
      </w:r>
      <w:r>
        <w:rPr>
          <w:b/>
          <w:bCs/>
        </w:rPr>
        <w:t xml:space="preserve">8% of those charges</w:t>
      </w:r>
      <w:r>
        <w:t xml:space="preserve">.</w:t>
      </w:r>
    </w:p>
    <w:p>
      <w:r>
        <w:t xml:space="preserve">6.2 If the Customer fails to supply materials or approvals by the agreed date, or fails to collect a ready lot within </w:t>
      </w:r>
      <w:r>
        <w:rPr>
          <w:b/>
          <w:bCs/>
        </w:rPr>
        <w:t xml:space="preserve">10 days</w:t>
      </w:r>
      <w:r>
        <w:t xml:space="preserve"> of notice of readiness, and the delay exceeds </w:t>
      </w:r>
      <w:r>
        <w:rPr>
          <w:b/>
          <w:bCs/>
        </w:rPr>
        <w:t xml:space="preserve">5 days</w:t>
      </w:r>
      <w:r>
        <w:t xml:space="preserve">, the Customer shall pay the Supplier liquidated damages at </w:t>
      </w:r>
      <w:r>
        <w:rPr>
          <w:b/>
          <w:bCs/>
        </w:rPr>
        <w:t xml:space="preserve">1% of the Job Work charges for the affected lot for each week of delay</w:t>
      </w:r>
      <w:r>
        <w:t xml:space="preserve">, up to a maximum of </w:t>
      </w:r>
      <w:r>
        <w:rPr>
          <w:b/>
          <w:bCs/>
        </w:rPr>
        <w:t xml:space="preserve">8% of those charges</w:t>
      </w:r>
      <w:r>
        <w:t xml:space="preserve">, towards storage and idle-capacity costs.</w:t>
      </w:r>
    </w:p>
    <w:p>
      <w:r>
        <w:t xml:space="preserve">6.3 The Parties acknowledge that the damage caused by delay cannot easily be measured, that the percentages above are a genuine pre-estimate of it and not a penalty, and that compensation is limited to what is reasonable and within the stated ceiling, consistent with Section 74 of the Indian Contract Act, 1872.</w:t>
      </w:r>
    </w:p>
    <w:p>
      <w:r>
        <w:t xml:space="preserve">6.4 These amounts are the exclusive monetary compensation for delay, and the right to terminate under Clause 13 remains available. They are not payable where force majeure or the claiming Party’s own act or omission caused the delay.</w:t>
      </w:r>
    </w:p>
    <w:p>
      <w:pPr>
        <w:keepNext/>
      </w:pPr>
      <w:r>
        <w:rPr>
          <w:b/>
          <w:bCs/>
        </w:rPr>
        <w:t xml:space="preserve">7. PAYMENT TERMS AND LATE PAYMENT</w:t>
      </w:r>
    </w:p>
    <w:p>
      <w:r>
        <w:t xml:space="preserve">7.1 The Customer shall pay all undisputed invoices raised by the Supplier within </w:t>
      </w:r>
      <w:r>
        <w:rPr>
          <w:b/>
          <w:bCs/>
        </w:rPr>
        <w:t xml:space="preserve">30 days</w:t>
      </w:r>
      <w:r>
        <w:t xml:space="preserve"> from the date of acceptance (or deemed acceptance) of the relevant lot, subject to receipt of a valid tax invoice.</w:t>
      </w:r>
    </w:p>
    <w:p>
      <w:r>
        <w:t xml:space="preserve">7.2 The undisputed part of any invoice must be paid on time even if the Customer questions another part of it.</w:t>
      </w:r>
    </w:p>
    <w:p>
      <w:r>
        <w:t xml:space="preserve">7.3 The Customer shall raise any invoice objection in writing within </w:t>
      </w:r>
      <w:r>
        <w:rPr>
          <w:b/>
          <w:bCs/>
        </w:rPr>
        <w:t xml:space="preserve">7 business days</w:t>
      </w:r>
      <w:r>
        <w:t xml:space="preserve">, giving its reasons. Both Parties shall try to settle the objection in good faith without delay.</w:t>
      </w:r>
    </w:p>
    <w:p>
      <w:r>
        <w:t xml:space="preserve">7.4 The Customer may deduct from an invoice only the documented cost of materials lost or damaged under Clause 3, after giving the Supplier written notice with supporting details and </w:t>
      </w:r>
      <w:r>
        <w:rPr>
          <w:b/>
          <w:bCs/>
        </w:rPr>
        <w:t xml:space="preserve">10 days</w:t>
      </w:r>
      <w:r>
        <w:t xml:space="preserve"> to respond. No other set-off shall be made except by mutual written agreement.</w:t>
      </w:r>
    </w:p>
    <w:p>
      <w:r>
        <w:t xml:space="preserve">7.5 </w:t>
      </w:r>
      <w:r>
        <w:rPr>
          <w:b/>
          <w:bCs/>
        </w:rPr>
        <w:t xml:space="preserve">For so long as the Supplier is a micro or small enterprise as defined in the Micro, Small and Medium Enterprises Development Act, 2006 (“MSMED Act”), the credit period allowed to the Customer is capped at the statutory maximum under that Act, whatever period is stated elsewhere in this Agreement.</w:t>
      </w:r>
    </w:p>
    <w:p>
      <w:r>
        <w:t xml:space="preserve">7.6 Interest on late payments shall be payable as prescribed by the MSMED Act, and no side arrangement between the Parties shall reduce the Supplier’s statutory entitlement.</w:t>
      </w:r>
    </w:p>
    <w:p>
      <w:pPr>
        <w:keepNext/>
      </w:pPr>
      <w:r>
        <w:rPr>
          <w:b/>
          <w:bCs/>
        </w:rPr>
        <w:t xml:space="preserve">8. MSME STATUS AND STATUTORY RIGHTS</w:t>
      </w:r>
    </w:p>
    <w:p>
      <w:r>
        <w:t xml:space="preserve">8.1 On the Effective Date the Supplier is classified as a </w:t>
      </w:r>
      <w:r>
        <w:rPr>
          <w:b/>
          <w:bCs/>
        </w:rPr>
        <w:t xml:space="preserve">small enterprise</w:t>
      </w:r>
      <w:r>
        <w:t xml:space="preserve"> and holds a valid Udyam Registration Certificate, and it shall furnish a copy to the Customer on request.</w:t>
      </w:r>
    </w:p>
    <w:p>
      <w:r>
        <w:t xml:space="preserve">8.2 Any material change in the Supplier’s classification or registration shall be notified to the Customer promptly in writing. The Supplier’s statutory rights under the MSMED Act are not waived by anything in this Agreement.</w:t>
      </w:r>
    </w:p>
    <w:p>
      <w:pPr>
        <w:keepNext/>
      </w:pPr>
      <w:r>
        <w:rPr>
          <w:b/>
          <w:bCs/>
        </w:rPr>
        <w:t xml:space="preserve">9. STATUTORY COMPLIANCE AND WARRANTIES</w:t>
      </w:r>
    </w:p>
    <w:p>
      <w:r>
        <w:t xml:space="preserve">9.1 Each Party confirms that it has the authority to enter into and perform this Agreement, that doing so breaches no law or binding obligation, and that it shall hold every licence and registration its own performance needs.</w:t>
      </w:r>
    </w:p>
    <w:p>
      <w:r>
        <w:t xml:space="preserve">9.2 The Supplier shall comply with applicable labour and employment laws, including those on wages, provident fund, insurance, working hours and the prohibition of child and forced labour. The Customer may verify compliance on </w:t>
      </w:r>
      <w:r>
        <w:rPr>
          <w:b/>
          <w:bCs/>
        </w:rPr>
        <w:t xml:space="preserve">10 days’</w:t>
      </w:r>
      <w:r>
        <w:t xml:space="preserve"> written notice, during business hours and not more than twice a year, subject to Clause 11.</w:t>
      </w:r>
    </w:p>
    <w:p>
      <w:r>
        <w:t xml:space="preserve">9.3 The Customer warrants that the designs, brands and materials it supplies do not infringe third-party rights.</w:t>
      </w:r>
    </w:p>
    <w:p>
      <w:pPr>
        <w:keepNext/>
      </w:pPr>
      <w:r>
        <w:rPr>
          <w:b/>
          <w:bCs/>
        </w:rPr>
        <w:t xml:space="preserve">10. DESIGN AND INTELLECTUAL PROPERTY</w:t>
      </w:r>
    </w:p>
    <w:p>
      <w:r>
        <w:t xml:space="preserve">10.1 The Customer retains all rights in its designs, patterns, tech packs, brand names, logos, labels and artwork (“Customer IP”). The Supplier shall use Customer IP solely to perform the Job Work.</w:t>
      </w:r>
    </w:p>
    <w:p>
      <w:r>
        <w:t xml:space="preserve">10.2 The Supplier retains its own production methods, machine settings, know-how and pre-existing intellectual property. Improvements in production methods developed independently by the Supplier remain the Supplier’s, while patterns and pattern modifications made from the Customer’s tech pack belong to the Customer.</w:t>
      </w:r>
    </w:p>
    <w:p>
      <w:r>
        <w:t xml:space="preserve">10.3 The Supplier shall not make, sell or display any garment, sample or pattern bearing Customer IP for or to any third party. On written request, surplus and rejected goods bearing Customer IP shall be returned or destroyed, with a written certificate, within </w:t>
      </w:r>
      <w:r>
        <w:rPr>
          <w:b/>
          <w:bCs/>
        </w:rPr>
        <w:t xml:space="preserve">15 days</w:t>
      </w:r>
      <w:r>
        <w:t xml:space="preserve">.</w:t>
      </w:r>
    </w:p>
    <w:p>
      <w:r>
        <w:t xml:space="preserve">10.4 The Supplier shall not use the Customer’s name or photographs of the goods for marketing without the Customer’s prior written consent.</w:t>
      </w:r>
    </w:p>
    <w:p>
      <w:pPr>
        <w:keepNext/>
      </w:pPr>
      <w:r>
        <w:rPr>
          <w:b/>
          <w:bCs/>
        </w:rPr>
        <w:t xml:space="preserve">11. CONFIDENTIALITY</w:t>
      </w:r>
    </w:p>
    <w:p>
      <w:r>
        <w:t xml:space="preserve">11.1 Each Party shall keep the other Party’s confidential information, including designs, tech packs, costings and order volumes, in confidence, use it only to perform this Agreement, and disclose it only to employees, advisers and contractors who need to know it and are bound by confidentiality obligations.</w:t>
      </w:r>
    </w:p>
    <w:p>
      <w:r>
        <w:t xml:space="preserve">11.2 Information does not count as confidential if it is public without breach of this Agreement, was lawfully known to the receiver before disclosure, is developed independently, or must be disclosed under law or by order of an authority.</w:t>
      </w:r>
    </w:p>
    <w:p>
      <w:r>
        <w:t xml:space="preserve">11.3 These obligations shall continue for </w:t>
      </w:r>
      <w:r>
        <w:rPr>
          <w:b/>
          <w:bCs/>
        </w:rPr>
        <w:t xml:space="preserve">3 years</w:t>
      </w:r>
      <w:r>
        <w:t xml:space="preserve"> after expiry or termination of this Agreement.</w:t>
      </w:r>
    </w:p>
    <w:p>
      <w:pPr>
        <w:keepNext/>
      </w:pPr>
      <w:r>
        <w:rPr>
          <w:b/>
          <w:bCs/>
        </w:rPr>
        <w:t xml:space="preserve">12. LIABILITY AND INDEMNITY</w:t>
      </w:r>
    </w:p>
    <w:p>
      <w:r>
        <w:t xml:space="preserve">12.1 Each Party agrees to indemnify the other against direct losses, claims and reasonable costs caused by its material breach of this Agreement, by fraud, wilful misconduct or gross negligence on its part or its personnel’s, or by its violation of law.</w:t>
      </w:r>
    </w:p>
    <w:p>
      <w:r>
        <w:t xml:space="preserve">12.2 The Customer shall indemnify the Supplier against third-party claims that Customer IP or the Customer’s specifications infringe intellectual property rights. The Supplier shall indemnify the Customer against third-party claims arising from its breach of Clause 10 or its use of unauthorised subcontractors.</w:t>
      </w:r>
    </w:p>
    <w:p>
      <w:r>
        <w:t xml:space="preserve">12.3 Loss of profit, loss of business opportunity and other indirect, incidental, special or consequential losses are excluded on both sides, except where applicable law forbids the exclusion.</w:t>
      </w:r>
    </w:p>
    <w:p>
      <w:r>
        <w:t xml:space="preserve">12.4 Subject to Clause 12.5, the total liability of either Party in respect of an Order shall not exceed </w:t>
      </w:r>
      <w:r>
        <w:rPr>
          <w:b/>
          <w:bCs/>
        </w:rPr>
        <w:t xml:space="preserve">100% of the total Job Work charges paid or payable under that Order</w:t>
      </w:r>
      <w:r>
        <w:t xml:space="preserve">.</w:t>
      </w:r>
    </w:p>
    <w:p>
      <w:r>
        <w:t xml:space="preserve">12.5 The limit in Clause 12.4 shall not apply to liability for:</w:t>
      </w:r>
    </w:p>
    <w:p>
      <w:r>
        <w:t xml:space="preserve">(a) fraud or deliberate wrongdoing;</w:t>
      </w:r>
    </w:p>
    <w:p>
      <w:r>
        <w:t xml:space="preserve">(b) a breach of confidentiality;</w:t>
      </w:r>
    </w:p>
    <w:p>
      <w:r>
        <w:t xml:space="preserve">(c) infringement or misappropriation of intellectual property;</w:t>
      </w:r>
    </w:p>
    <w:p>
      <w:r>
        <w:t xml:space="preserve">(d) statutory liabilities that the law does not permit to be limited; or</w:t>
      </w:r>
    </w:p>
    <w:p>
      <w:r>
        <w:t xml:space="preserve">(e) the Customer’s payment obligations.</w:t>
      </w:r>
    </w:p>
    <w:p>
      <w:r>
        <w:t xml:space="preserve">12.6 The Supplier’s liability for loss of or damage to Customer materials in its custody shall be limited to their documented cost under Clause 3 and shall not count towards the limit in Clause 12.4.</w:t>
      </w:r>
    </w:p>
    <w:p>
      <w:pPr>
        <w:keepNext/>
      </w:pPr>
      <w:r>
        <w:rPr>
          <w:b/>
          <w:bCs/>
        </w:rPr>
        <w:t xml:space="preserve">13. DURATION, CANCELLATION AND TERMINATION</w:t>
      </w:r>
    </w:p>
    <w:p>
      <w:r>
        <w:t xml:space="preserve">13.1 This Agreement shall commence on the Effective Date and remain in force for </w:t>
      </w:r>
      <w:r>
        <w:rPr>
          <w:b/>
          <w:bCs/>
        </w:rPr>
        <w:t xml:space="preserve">2 years</w:t>
      </w:r>
      <w:r>
        <w:t xml:space="preserve">, unless terminated earlier in accordance with this Clause.</w:t>
      </w:r>
    </w:p>
    <w:p>
      <w:r>
        <w:t xml:space="preserve">13.2 Either Party may terminate this Agreement by giving </w:t>
      </w:r>
      <w:r>
        <w:rPr>
          <w:b/>
          <w:bCs/>
        </w:rPr>
        <w:t xml:space="preserve">45 days’</w:t>
      </w:r>
      <w:r>
        <w:t xml:space="preserve"> prior written notice to the other Party.</w:t>
      </w:r>
    </w:p>
    <w:p>
      <w:r>
        <w:t xml:space="preserve">13.3 Either Party may terminate this Agreement with immediate effect by written notice where the other Party commits a material breach that remains uncured </w:t>
      </w:r>
      <w:r>
        <w:rPr>
          <w:b/>
          <w:bCs/>
        </w:rPr>
        <w:t xml:space="preserve">21 days</w:t>
      </w:r>
      <w:r>
        <w:t xml:space="preserve"> after written notice, becomes insolvent or enters liquidation (subject to applicable law), or ceases business.</w:t>
      </w:r>
    </w:p>
    <w:p>
      <w:r>
        <w:t xml:space="preserve">13.4 Termination does not disturb any right or liability that arose before the date it takes effect. Unless the Parties agree otherwise in writing, Orders accepted before a notice under Clause 13.2 shall be completed under this Agreement.</w:t>
      </w:r>
    </w:p>
    <w:p>
      <w:r>
        <w:t xml:space="preserve">13.5 Where the Customer cancels an accepted Order or this Agreement is terminated with an Order in progress, the Customer shall pay the Job Work charges for completed goods, a proportionate charge for work in progress, and the documented cost of trims and consumables bought by the Supplier at the Customer’s written request for that Order that cannot reasonably be used elsewhere. The Supplier shall deliver the completed goods and work in progress, and return all Customer materials, within </w:t>
      </w:r>
      <w:r>
        <w:rPr>
          <w:b/>
          <w:bCs/>
        </w:rPr>
        <w:t xml:space="preserve">10 days</w:t>
      </w:r>
      <w:r>
        <w:t xml:space="preserve"> of payment or of the effective date of termination, whichever is later.</w:t>
      </w:r>
    </w:p>
    <w:p>
      <w:r>
        <w:t xml:space="preserve">13.6 Clauses 10, 11, 12, 15 and 16 shall survive termination.</w:t>
      </w:r>
    </w:p>
    <w:p>
      <w:pPr>
        <w:keepNext/>
      </w:pPr>
      <w:r>
        <w:rPr>
          <w:b/>
          <w:bCs/>
        </w:rPr>
        <w:t xml:space="preserve">14. FORCE MAJEURE</w:t>
      </w:r>
    </w:p>
    <w:p>
      <w:r>
        <w:t xml:space="preserve">14.1 Neither Party is liable for delay or non-performance caused by circumstances beyond its reasonable control, including natural calamity, epidemic, war, riot, governmental order, fire, flood, or breakdown of public utilities or transport (“force majeure event”), provided the obligation affected is not a payment already due. Labour unrest confined to a Party’s own establishment is not a force majeure event.</w:t>
      </w:r>
    </w:p>
    <w:p>
      <w:r>
        <w:t xml:space="preserve">14.2 The affected Party shall inform the other promptly, keep it updated, and make reasonable efforts to mitigate the effect and resume performance.</w:t>
      </w:r>
    </w:p>
    <w:p>
      <w:r>
        <w:t xml:space="preserve">14.3 Where a force majeure event continues beyond </w:t>
      </w:r>
      <w:r>
        <w:rPr>
          <w:b/>
          <w:bCs/>
        </w:rPr>
        <w:t xml:space="preserve">45 days</w:t>
      </w:r>
      <w:r>
        <w:t xml:space="preserve">, either Party may cancel the affected Order by written notice, without liability other than payment for goods delivered and work performed up to that date.</w:t>
      </w:r>
    </w:p>
    <w:p>
      <w:pPr>
        <w:keepNext/>
      </w:pPr>
      <w:r>
        <w:rPr>
          <w:b/>
          <w:bCs/>
        </w:rPr>
        <w:t xml:space="preserve">15. DISPUTE RESOLUTION</w:t>
      </w:r>
    </w:p>
    <w:p>
      <w:r>
        <w:t xml:space="preserve">15.1 Before starting any formal proceedings, the Parties shall try in good faith to settle any dispute arising out of or connected with this Agreement through their authorised representatives.</w:t>
      </w:r>
    </w:p>
    <w:p>
      <w:r>
        <w:t xml:space="preserve">15.2 If the dispute is not resolved within </w:t>
      </w:r>
      <w:r>
        <w:rPr>
          <w:b/>
          <w:bCs/>
        </w:rPr>
        <w:t xml:space="preserve">30 days</w:t>
      </w:r>
      <w:r>
        <w:t xml:space="preserve">, either Party may refer it to arbitration under the </w:t>
      </w:r>
      <w:r>
        <w:rPr>
          <w:b/>
          <w:bCs/>
        </w:rPr>
        <w:t xml:space="preserve">Arbitration and Conciliation Act, 1996</w:t>
      </w:r>
      <w:r>
        <w:t xml:space="preserve">.</w:t>
      </w:r>
    </w:p>
    <w:p>
      <w:r>
        <w:t xml:space="preserve">15.3 The tribunal shall be a sole arbitrator chosen jointly by the Parties; if they cannot agree within </w:t>
      </w:r>
      <w:r>
        <w:rPr>
          <w:b/>
          <w:bCs/>
        </w:rPr>
        <w:t xml:space="preserve">30 days</w:t>
      </w:r>
      <w:r>
        <w:t xml:space="preserve"> of a written request, the appointment shall be made under Section 11 of that Act.</w:t>
      </w:r>
    </w:p>
    <w:p>
      <w:r>
        <w:t xml:space="preserve">15.4 Arbitration shall be seated and held at </w:t>
      </w:r>
      <w:r>
        <w:rPr>
          <w:b/>
          <w:bCs/>
        </w:rPr>
        <w:t xml:space="preserve">Bengaluru, Karnataka</w:t>
      </w:r>
      <w:r>
        <w:t xml:space="preserve"> and conducted in English, each Party paying its own costs and half of the arbitrator’s fees unless the award orders otherwise.</w:t>
      </w:r>
    </w:p>
    <w:p>
      <w:r>
        <w:t xml:space="preserve">15.5 Undisputed obligations shall continue to be performed while a dispute is pending, and either Party may still seek interim relief from a competent court.</w:t>
      </w:r>
    </w:p>
    <w:p>
      <w:r>
        <w:t xml:space="preserve">15.6 </w:t>
      </w:r>
      <w:r>
        <w:rPr>
          <w:b/>
          <w:bCs/>
        </w:rPr>
        <w:t xml:space="preserve">An eligible micro or small enterprise remains free to use every remedy the MSMED Act gives it, including a reference to the Micro and Small Enterprises Facilitation Council for delayed payments.</w:t>
      </w:r>
    </w:p>
    <w:p>
      <w:pPr>
        <w:keepNext/>
      </w:pPr>
      <w:r>
        <w:rPr>
          <w:b/>
          <w:bCs/>
        </w:rPr>
        <w:t xml:space="preserve">16. GOVERNING LAW AND JURISDICTION</w:t>
      </w:r>
    </w:p>
    <w:p>
      <w:r>
        <w:t xml:space="preserve">16.1 This Agreement is governed by Indian law and shall be interpreted accordingly.</w:t>
      </w:r>
    </w:p>
    <w:p>
      <w:r>
        <w:t xml:space="preserve">16.2 Apart from Clause 15 and any statutory remedy, only the courts at </w:t>
      </w:r>
      <w:r>
        <w:rPr>
          <w:b/>
          <w:bCs/>
        </w:rPr>
        <w:t xml:space="preserve">Bengaluru, Karnataka</w:t>
      </w:r>
      <w:r>
        <w:t xml:space="preserve"> may hear matters arising out of this Agreement.</w:t>
      </w:r>
    </w:p>
    <w:p>
      <w:pPr>
        <w:keepNext/>
      </w:pPr>
      <w:r>
        <w:rPr>
          <w:b/>
          <w:bCs/>
        </w:rPr>
        <w:t xml:space="preserve">17. NOTICES</w:t>
      </w:r>
    </w:p>
    <w:p>
      <w:r>
        <w:t xml:space="preserve">17.1 All notices shall be in writing and may be delivered by hand, registered post, reputed courier or email to the details each Party has given the other.</w:t>
      </w:r>
    </w:p>
    <w:p>
      <w:r>
        <w:t xml:space="preserve">17.2 A Party that changes its address or email for notices shall tell the other Party promptly.</w:t>
      </w:r>
    </w:p>
    <w:p>
      <w:r>
        <w:t xml:space="preserve">17.3 An emailed notice of termination or of a claim for damages shall be confirmed by courier or registered post.</w:t>
      </w:r>
    </w:p>
    <w:p>
      <w:pPr>
        <w:keepNext/>
      </w:pPr>
      <w:r>
        <w:rPr>
          <w:b/>
          <w:bCs/>
        </w:rPr>
        <w:t xml:space="preserve">18. ASSIGNMENT AND SUBCONTRACTING</w:t>
      </w:r>
    </w:p>
    <w:p>
      <w:r>
        <w:t xml:space="preserve">18.1 Each Party may assign this Agreement only with the other Party’s prior written consent, save to an affiliate or a successor by merger or transfer of substantially all of its business, on prior written notice and subject to applicable law.</w:t>
      </w:r>
    </w:p>
    <w:p>
      <w:r>
        <w:t xml:space="preserve">18.2 The Supplier shall not subcontract any part of the Job Work without the Customer’s prior written consent, and shall remain responsible for the work of any approved subcontractor.</w:t>
      </w:r>
    </w:p>
    <w:p>
      <w:pPr>
        <w:keepNext/>
      </w:pPr>
      <w:r>
        <w:rPr>
          <w:b/>
          <w:bCs/>
        </w:rPr>
        <w:t xml:space="preserve">19. AMENDMENT</w:t>
      </w:r>
    </w:p>
    <w:p>
      <w:r>
        <w:t xml:space="preserve">No change to this Agreement takes effect unless it is recorded in writing and signed by the authorised representatives of both Parties.</w:t>
      </w:r>
    </w:p>
    <w:p>
      <w:pPr>
        <w:keepNext/>
      </w:pPr>
      <w:r>
        <w:rPr>
          <w:b/>
          <w:bCs/>
        </w:rPr>
        <w:t xml:space="preserve">SIGNATURES</w:t>
      </w:r>
    </w:p>
    <w:p>
      <w:pPr>
        <w:keepNext/>
      </w:pPr>
      <w:r>
        <w:rPr>
          <w:b/>
          <w:bCs/>
        </w:rPr>
        <w:t xml:space="preserve">For M/s Annamalai Knit Works</w:t>
      </w:r>
    </w:p>
    <w:p>
      <w:r>
        <w:t xml:space="preserve">Signature: ____________________</w:t>
      </w:r>
      <w:r>
        <w:br/>
        <w:t xml:space="preserve">Name: K. Annamalai</w:t>
      </w:r>
      <w:r>
        <w:br/>
        <w:t xml:space="preserve">Designation: Managing Partner</w:t>
      </w:r>
      <w:r>
        <w:br/>
        <w:t xml:space="preserve">Date: 18 April 2026</w:t>
      </w:r>
    </w:p>
    <w:p>
      <w:pPr>
        <w:keepNext/>
      </w:pPr>
      <w:r>
        <w:rPr>
          <w:b/>
          <w:bCs/>
        </w:rPr>
        <w:t xml:space="preserve">For Coastline Apparel Brands Private Limited</w:t>
      </w:r>
    </w:p>
    <w:p>
      <w:r>
        <w:t xml:space="preserve">Signature: ____________________</w:t>
      </w:r>
      <w:r>
        <w:br/>
        <w:t xml:space="preserve">Name: Rohan Mehta</w:t>
      </w:r>
      <w:r>
        <w:br/>
        <w:t xml:space="preserve">Designation: Director, Sourcing</w:t>
      </w:r>
      <w:r>
        <w:br/>
        <w:t xml:space="preserve">Date: 18 April 2026</w:t>
      </w:r>
    </w:p>
    <w:p>
      <w:r>
        <w:pict>
          <v:rect id="_x0000_i1045" style="width:0;height:1.5pt" o:hralign="center" o:hrstd="t" o:hr="t" fillcolor="#a0a0a0" stroked="f"/>
        </w:pict>
      </w:r>
    </w:p>
    <w:sectPr w:rsidR="00C370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B2F"/>
    <w:rsid w:val="001C7B2F"/>
    <w:rsid w:val="003A1A17"/>
    <w:rsid w:val="007810EC"/>
    <w:rsid w:val="00C370B3"/>
    <w:rsid w:val="00FC6C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05CCE"/>
  <w15:chartTrackingRefBased/>
  <w15:docId w15:val="{4F48D1CB-7E9F-41A2-8709-90BA1479B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B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B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B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B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B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B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B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B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B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B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B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B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B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B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B2F"/>
    <w:rPr>
      <w:rFonts w:eastAsiaTheme="majorEastAsia" w:cstheme="majorBidi"/>
      <w:color w:val="272727" w:themeColor="text1" w:themeTint="D8"/>
    </w:rPr>
  </w:style>
  <w:style w:type="paragraph" w:styleId="Title">
    <w:name w:val="Title"/>
    <w:basedOn w:val="Normal"/>
    <w:next w:val="Normal"/>
    <w:link w:val="TitleChar"/>
    <w:uiPriority w:val="10"/>
    <w:qFormat/>
    <w:rsid w:val="001C7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B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B2F"/>
    <w:pPr>
      <w:spacing w:before="160"/>
      <w:jc w:val="center"/>
    </w:pPr>
    <w:rPr>
      <w:i/>
      <w:iCs/>
      <w:color w:val="404040" w:themeColor="text1" w:themeTint="BF"/>
    </w:rPr>
  </w:style>
  <w:style w:type="character" w:customStyle="1" w:styleId="QuoteChar">
    <w:name w:val="Quote Char"/>
    <w:basedOn w:val="DefaultParagraphFont"/>
    <w:link w:val="Quote"/>
    <w:uiPriority w:val="29"/>
    <w:rsid w:val="001C7B2F"/>
    <w:rPr>
      <w:i/>
      <w:iCs/>
      <w:color w:val="404040" w:themeColor="text1" w:themeTint="BF"/>
    </w:rPr>
  </w:style>
  <w:style w:type="paragraph" w:styleId="ListParagraph">
    <w:name w:val="List Paragraph"/>
    <w:basedOn w:val="Normal"/>
    <w:uiPriority w:val="34"/>
    <w:qFormat/>
    <w:rsid w:val="001C7B2F"/>
    <w:pPr>
      <w:ind w:left="720"/>
      <w:contextualSpacing/>
    </w:pPr>
  </w:style>
  <w:style w:type="character" w:styleId="IntenseEmphasis">
    <w:name w:val="Intense Emphasis"/>
    <w:basedOn w:val="DefaultParagraphFont"/>
    <w:uiPriority w:val="21"/>
    <w:qFormat/>
    <w:rsid w:val="001C7B2F"/>
    <w:rPr>
      <w:i/>
      <w:iCs/>
      <w:color w:val="2F5496" w:themeColor="accent1" w:themeShade="BF"/>
    </w:rPr>
  </w:style>
  <w:style w:type="paragraph" w:styleId="IntenseQuote">
    <w:name w:val="Intense Quote"/>
    <w:basedOn w:val="Normal"/>
    <w:next w:val="Normal"/>
    <w:link w:val="IntenseQuoteChar"/>
    <w:uiPriority w:val="30"/>
    <w:qFormat/>
    <w:rsid w:val="001C7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B2F"/>
    <w:rPr>
      <w:i/>
      <w:iCs/>
      <w:color w:val="2F5496" w:themeColor="accent1" w:themeShade="BF"/>
    </w:rPr>
  </w:style>
  <w:style w:type="character" w:styleId="IntenseReference">
    <w:name w:val="Intense Reference"/>
    <w:basedOn w:val="DefaultParagraphFont"/>
    <w:uiPriority w:val="32"/>
    <w:qFormat/>
    <w:rsid w:val="001C7B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1809</Words>
  <Characters>10313</Characters>
  <Application>Microsoft Office Word</Application>
  <DocSecurity>0</DocSecurity>
  <Lines>85</Lines>
  <Paragraphs>24</Paragraphs>
  <ScaleCrop>false</ScaleCrop>
  <Company/>
  <LinksUpToDate>false</LinksUpToDate>
  <CharactersWithSpaces>12098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MSME-BENCHMARK-4</dc:title>
  <dc:subject/>
  <dc:creator>madhura vittal</dc:creator>
  <cp:keywords/>
  <dc:description/>
  <cp:lastModifiedBy>madhura vittal</cp:lastModifiedBy>
  <cp:revision>1</cp:revision>
  <dcterms:created xsi:type="dcterms:W3CDTF">2026-08-26T17:02:00Z</dcterms:created>
  <dcterms:modified xsi:type="dcterms:W3CDTF">2026-08-26T17:04:00Z</dcterms:modified>
</cp:coreProperties>
</file>