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SOFTWARE DEVELOPMENT AND SUPPORT SERVICES AGREEMENT</w:t>
      </w:r>
    </w:p>
    <w:p>
      <w:r>
        <w:t xml:space="preserve">This </w:t>
      </w:r>
      <w:r>
        <w:rPr>
          <w:b/>
          <w:bCs/>
        </w:rPr>
        <w:t xml:space="preserve">Software Development and Support Services Agreement</w:t>
      </w:r>
      <w:r>
        <w:t xml:space="preserve"> (“Agreement”) is entered into on this 3rd day of March</w:t>
      </w:r>
      <w:r>
        <w:rPr>
          <w:b/>
          <w:bCs/>
        </w:rPr>
        <w:t xml:space="preserve">, 2026</w:t>
      </w:r>
      <w:r>
        <w:t xml:space="preserve"> (“Effective Date”)</w:t>
      </w:r>
    </w:p>
    <w:p>
      <w:r>
        <w:rPr>
          <w:b/>
          <w:bCs/>
        </w:rPr>
        <w:t xml:space="preserve">BY AND BETWEEN</w:t>
      </w:r>
    </w:p>
    <w:p>
      <w:r>
        <w:rPr>
          <w:b/>
          <w:bCs/>
        </w:rPr>
        <w:t xml:space="preserve">Bytewright Software Solutions LLP</w:t>
      </w:r>
      <w:r>
        <w:t xml:space="preserve">, a limited liability partnership registered under the Limited Liability Partnership Act, 2008 (LLPIN </w:t>
      </w:r>
      <w:r>
        <w:rPr>
          <w:b/>
          <w:bCs/>
        </w:rPr>
        <w:t xml:space="preserve">AAM-4127</w:t>
      </w:r>
      <w:r>
        <w:t xml:space="preserve">), having its registered office at </w:t>
      </w:r>
      <w:r>
        <w:rPr>
          <w:b/>
          <w:bCs/>
        </w:rPr>
        <w:t xml:space="preserve">No. 84, Second Floor, 100 Feet Road, Indiranagar, Bengaluru, Karnataka 560038</w:t>
      </w:r>
      <w:r>
        <w:t xml:space="preserve">, bearing Udyam Registration No. </w:t>
      </w:r>
      <w:r>
        <w:rPr>
          <w:b/>
          <w:bCs/>
        </w:rPr>
        <w:t xml:space="preserve">UDYAM-KA-03-0271946</w:t>
      </w:r>
      <w:r>
        <w:t xml:space="preserve"> and GSTIN </w:t>
      </w:r>
      <w:r>
        <w:rPr>
          <w:b/>
          <w:bCs/>
        </w:rPr>
        <w:t xml:space="preserve">29AAKFB2946Q1ZP</w:t>
      </w:r>
      <w:r>
        <w:t xml:space="preserve">, hereinafter referred to as the </w:t>
      </w:r>
      <w:r>
        <w:rPr>
          <w:b/>
          <w:bCs/>
        </w:rPr>
        <w:t xml:space="preserve">“Supplier”</w:t>
      </w:r>
      <w:r>
        <w:t xml:space="preserve"> (which expression shall, unless repugnant to the context, include its successors and permitted assigns);</w:t>
      </w:r>
    </w:p>
    <w:p>
      <w:r>
        <w:rPr>
          <w:b/>
          <w:bCs/>
        </w:rPr>
        <w:t xml:space="preserve">AND</w:t>
      </w:r>
    </w:p>
    <w:p>
      <w:r>
        <w:rPr>
          <w:b/>
          <w:bCs/>
        </w:rPr>
        <w:t xml:space="preserve">Malabar Retail Logistics Private Limited</w:t>
      </w:r>
      <w:r>
        <w:t xml:space="preserve">, a company incorporated under the Companies Act, 2013, having its registered office at </w:t>
      </w:r>
      <w:r>
        <w:rPr>
          <w:b/>
          <w:bCs/>
        </w:rPr>
        <w:t xml:space="preserve">Door No. 41/2870, Seaport-Airport Road, Kakkanad, Kochi, Kerala 682030</w:t>
      </w:r>
      <w:r>
        <w:t xml:space="preserve">, bearing CIN </w:t>
      </w:r>
      <w:r>
        <w:rPr>
          <w:b/>
          <w:bCs/>
        </w:rPr>
        <w:t xml:space="preserve">U63090KL2016PTC044519</w:t>
      </w:r>
      <w:r>
        <w:t xml:space="preserve"> and GSTIN </w:t>
      </w:r>
      <w:r>
        <w:rPr>
          <w:b/>
          <w:bCs/>
        </w:rPr>
        <w:t xml:space="preserve">32AAECM7318R1Z1</w:t>
      </w:r>
      <w:r>
        <w:t xml:space="preserve">, hereinafter referred to as the </w:t>
      </w:r>
      <w:r>
        <w:rPr>
          <w:b/>
          <w:bCs/>
        </w:rPr>
        <w:t xml:space="preserve">“Customer”</w:t>
      </w:r>
      <w:r>
        <w:t xml:space="preserve"> (which expression shall, unless repugnant to the context, include its successors and permitted assigns).</w:t>
      </w:r>
    </w:p>
    <w:p>
      <w:r>
        <w:t xml:space="preserve">The Supplier and Customer are individually referred to as a </w:t>
      </w:r>
      <w:r>
        <w:rPr>
          <w:b/>
          <w:bCs/>
        </w:rPr>
        <w:t xml:space="preserve">“Party”</w:t>
      </w:r>
      <w:r>
        <w:t xml:space="preserve"> and collectively as the </w:t>
      </w:r>
      <w:r>
        <w:rPr>
          <w:b/>
          <w:bCs/>
        </w:rPr>
        <w:t xml:space="preserve">“Parties.”</w:t>
      </w:r>
    </w:p>
    <w:p>
      <w:pPr>
        <w:keepNext/>
      </w:pPr>
      <w:r>
        <w:rPr>
          <w:b/>
          <w:bCs/>
        </w:rPr>
        <w:t xml:space="preserve">1. SCOPE OF SERVICES</w:t>
      </w:r>
    </w:p>
    <w:p>
      <w:r>
        <w:t xml:space="preserve">1.1 The Supplier shall design, develop, deliver and support the software and related services described in each statement of work (“SOW”) signed by both Parties, in accordance with the terms of this Agreement.</w:t>
      </w:r>
    </w:p>
    <w:p>
      <w:r>
        <w:t xml:space="preserve">1.2 Each SOW shall set out the scope, deliverables, milestones, timelines, acceptance criteria, fees and any Customer dependencies, and shall form an integral part of this Agreement. In the event of any conflict between this Agreement and a SOW, this Agreement shall prevail unless the SOW expressly states that the relevant provision is being amended.</w:t>
      </w:r>
    </w:p>
    <w:p>
      <w:r>
        <w:t xml:space="preserve">1.3 Any change to scope, timelines or fees shall be valid only through a written change request signed by both Parties. The Supplier shall provide an impact assessment within </w:t>
      </w:r>
      <w:r>
        <w:rPr>
          <w:b/>
          <w:bCs/>
        </w:rPr>
        <w:t xml:space="preserve">5 business days</w:t>
      </w:r>
      <w:r>
        <w:t xml:space="preserve"> of receiving a change request.</w:t>
      </w:r>
    </w:p>
    <w:p>
      <w:pPr>
        <w:keepNext/>
      </w:pPr>
      <w:r>
        <w:rPr>
          <w:b/>
          <w:bCs/>
        </w:rPr>
        <w:t xml:space="preserve">2. CUSTOMER DEPENDENCIES</w:t>
      </w:r>
    </w:p>
    <w:p>
      <w:r>
        <w:t xml:space="preserve">2.1 The Customer shall provide the information, access, test data, personnel and approvals identified in the SOW within </w:t>
      </w:r>
      <w:r>
        <w:rPr>
          <w:b/>
          <w:bCs/>
        </w:rPr>
        <w:t xml:space="preserve">5 business days</w:t>
      </w:r>
      <w:r>
        <w:t xml:space="preserve"> of the Supplier’s request, or within the timeline stated in the SOW.</w:t>
      </w:r>
    </w:p>
    <w:p>
      <w:r>
        <w:t xml:space="preserve">2.2 If the Customer fails to do so, the affected timelines shall be extended by the period of delay, provided the Supplier has promptly notified the Customer of the delay.</w:t>
      </w:r>
    </w:p>
    <w:p>
      <w:r>
        <w:t xml:space="preserve">2.3 The Customer shall ensure that it has the right to provide any data or materials it makes available to the Supplier.</w:t>
      </w:r>
    </w:p>
    <w:p>
      <w:pPr>
        <w:keepNext/>
      </w:pPr>
      <w:r>
        <w:rPr>
          <w:b/>
          <w:bCs/>
        </w:rPr>
        <w:t xml:space="preserve">3. FEES AND EXPENSES</w:t>
      </w:r>
    </w:p>
    <w:p>
      <w:r>
        <w:t xml:space="preserve">3.1 The fees shall be as stated in the SOW, either as a fixed fee per milestone or on a time-and-materials basis at the rates stated in the SOW.</w:t>
      </w:r>
    </w:p>
    <w:p>
      <w:r>
        <w:t xml:space="preserve">3.2 Unless expressly stated otherwise, fees shall be exclusive of applicable GST and other statutory taxes, and any change in such taxes after the Effective Date shall be borne by the Party legally liable for it.</w:t>
      </w:r>
    </w:p>
    <w:p>
      <w:r>
        <w:t xml:space="preserve">3.3 The Supplier shall issue valid tax invoices. Travel and other out-of-pocket expenses shall be reimbursed at actuals only if approved in writing in advance.</w:t>
      </w:r>
    </w:p>
    <w:p>
      <w:pPr>
        <w:keepNext/>
      </w:pPr>
      <w:r>
        <w:rPr>
          <w:b/>
          <w:bCs/>
        </w:rPr>
        <w:t xml:space="preserve">4. DELIVERY, TESTING AND ACCEPTANCE</w:t>
      </w:r>
    </w:p>
    <w:p>
      <w:r>
        <w:t xml:space="preserve">4.1 The Supplier shall deliver each deliverable by the milestone date stated in the SOW.</w:t>
      </w:r>
    </w:p>
    <w:p>
      <w:r>
        <w:t xml:space="preserve">4.2 The Supplier shall deliver source code, build instructions and user documentation with each deliverable, so that the Customer can compile, run and maintain it.</w:t>
      </w:r>
    </w:p>
    <w:p>
      <w:r>
        <w:t xml:space="preserve">4.3 The Customer shall test each deliverable against the acceptance criteria within </w:t>
      </w:r>
      <w:r>
        <w:rPr>
          <w:b/>
          <w:bCs/>
        </w:rPr>
        <w:t xml:space="preserve">10 business days</w:t>
      </w:r>
      <w:r>
        <w:t xml:space="preserve"> of delivery (“Acceptance Period”) and shall either accept it in writing or notify the Supplier in writing of each non-conformity in reasonable detail.</w:t>
      </w:r>
    </w:p>
    <w:p>
      <w:r>
        <w:t xml:space="preserve">4.4 The Supplier shall correct reported non-conformities and redeliver within </w:t>
      </w:r>
      <w:r>
        <w:rPr>
          <w:b/>
          <w:bCs/>
        </w:rPr>
        <w:t xml:space="preserve">10 business days</w:t>
      </w:r>
      <w:r>
        <w:t xml:space="preserve">, and the Customer shall retest within </w:t>
      </w:r>
      <w:r>
        <w:rPr>
          <w:b/>
          <w:bCs/>
        </w:rPr>
        <w:t xml:space="preserve">5 business days</w:t>
      </w:r>
      <w:r>
        <w:t xml:space="preserve">. If the deliverable still fails after two such correction cycles, the Customer may terminate the affected SOW under Clause 13.3 or refer the matter under Clause 15.</w:t>
      </w:r>
    </w:p>
    <w:p>
      <w:r>
        <w:t xml:space="preserve">4.5 A deliverable shall be deemed accepted if the Customer does not respond within the Acceptance Period or puts it into live use.</w:t>
      </w:r>
    </w:p>
    <w:p>
      <w:pPr>
        <w:keepNext/>
      </w:pPr>
      <w:r>
        <w:rPr>
          <w:b/>
          <w:bCs/>
        </w:rPr>
        <w:t xml:space="preserve">5. INVOICING AND PAYMENT TERMS</w:t>
      </w:r>
    </w:p>
    <w:p>
      <w:r>
        <w:t xml:space="preserve">5.1 The Customer shall pay all undisputed invoices raised by the Supplier within </w:t>
      </w:r>
      <w:r>
        <w:rPr>
          <w:b/>
          <w:bCs/>
        </w:rPr>
        <w:t xml:space="preserve">21 days</w:t>
      </w:r>
      <w:r>
        <w:t xml:space="preserve"> from the date of acceptance (or deemed acceptance) of the relevant deliverable or service, subject to receipt of a valid tax invoice.</w:t>
      </w:r>
    </w:p>
    <w:p>
      <w:r>
        <w:t xml:space="preserve">5.2 Unless the SOW states otherwise, fixed fees shall be invoiced as follows:</w:t>
      </w:r>
    </w:p>
    <w:p>
      <w:r>
        <w:t xml:space="preserve">(a) 30% on signing the SOW, payable within </w:t>
      </w:r>
      <w:r>
        <w:rPr>
          <w:b/>
          <w:bCs/>
        </w:rPr>
        <w:t xml:space="preserve">10 days</w:t>
      </w:r>
      <w:r>
        <w:t xml:space="preserve"> of invoice;</w:t>
      </w:r>
      <w:r>
        <w:br/>
        <w:t xml:space="preserve">(b) 40% on acceptance of the mid-project milestone identified in the SOW; and</w:t>
      </w:r>
      <w:r>
        <w:br/>
        <w:t xml:space="preserve">(c) 30% on final acceptance.</w:t>
      </w:r>
    </w:p>
    <w:p>
      <w:r>
        <w:t xml:space="preserve">5.3 Support fees shall be invoiced monthly at the end of each month and paid within </w:t>
      </w:r>
      <w:r>
        <w:rPr>
          <w:b/>
          <w:bCs/>
        </w:rPr>
        <w:t xml:space="preserve">21 days</w:t>
      </w:r>
      <w:r>
        <w:t xml:space="preserve"> of invoice.</w:t>
      </w:r>
    </w:p>
    <w:p>
      <w:r>
        <w:t xml:space="preserve">5.4 A dispute over part of an invoice shall not entitle the Customer to delay payment of the portion that is not in dispute. Any objection to an invoice must be sent to the Supplier in writing, with reasons, within </w:t>
      </w:r>
      <w:r>
        <w:rPr>
          <w:b/>
          <w:bCs/>
        </w:rPr>
        <w:t xml:space="preserve">7 business days</w:t>
      </w:r>
      <w:r>
        <w:t xml:space="preserve"> of receipt. The Parties shall then work in good faith to settle it quickly.</w:t>
      </w:r>
    </w:p>
    <w:p>
      <w:r>
        <w:t xml:space="preserve">5.5 The Supplier may suspend services only if an undisputed amount remains unpaid </w:t>
      </w:r>
      <w:r>
        <w:rPr>
          <w:b/>
          <w:bCs/>
        </w:rPr>
        <w:t xml:space="preserve">15 days</w:t>
      </w:r>
      <w:r>
        <w:t xml:space="preserve"> after a written reminder, and shall resume services promptly on payment.</w:t>
      </w:r>
    </w:p>
    <w:p>
      <w:r>
        <w:t xml:space="preserve">5.6 </w:t>
      </w:r>
      <w:r>
        <w:rPr>
          <w:b/>
          <w:bCs/>
        </w:rPr>
        <w:t xml:space="preserve">If the Supplier is a micro or small enterprise under the Micro, Small and Medium Enterprises Development Act, 2006 (“MSMED Act”), no payment period in this Agreement shall exceed the maximum allowed by that Act.</w:t>
      </w:r>
    </w:p>
    <w:p>
      <w:pPr>
        <w:keepNext/>
      </w:pPr>
      <w:r>
        <w:rPr>
          <w:b/>
          <w:bCs/>
        </w:rPr>
        <w:t xml:space="preserve">6. MSME STATUS AND STATUTORY INTEREST</w:t>
      </w:r>
    </w:p>
    <w:p>
      <w:r>
        <w:t xml:space="preserve">6.1 The Supplier confirms that it is a </w:t>
      </w:r>
      <w:r>
        <w:rPr>
          <w:b/>
          <w:bCs/>
        </w:rPr>
        <w:t xml:space="preserve">micro enterprise</w:t>
      </w:r>
      <w:r>
        <w:t xml:space="preserve"> registered under the MSMED Act with a current Udyam Registration Certificate, which it shall share on request and update promptly in writing if its classification changes materially.</w:t>
      </w:r>
    </w:p>
    <w:p>
      <w:r>
        <w:t xml:space="preserve">6.2 Amounts unpaid after the statutory period shall bear interest as provided in the MSMED Act, which applies despite any contrary commercial arrangement, to the extent the law requires.</w:t>
      </w:r>
    </w:p>
    <w:p>
      <w:r>
        <w:t xml:space="preserve">6.3 No provision of this Agreement waives any statutory right the Supplier has under the MSMED Act, and those rights apply whether or not they are restated here.</w:t>
      </w:r>
    </w:p>
    <w:p>
      <w:pPr>
        <w:keepNext/>
      </w:pPr>
      <w:r>
        <w:rPr>
          <w:b/>
          <w:bCs/>
        </w:rPr>
        <w:t xml:space="preserve">7. OWNERSHIP OF INTELLECTUAL PROPERTY</w:t>
      </w:r>
    </w:p>
    <w:p>
      <w:r>
        <w:t xml:space="preserve">7.1 Each Party keeps ownership of the intellectual property it held before the Effective Date, and the Customer shall retain ownership of its data and materials.</w:t>
      </w:r>
    </w:p>
    <w:p>
      <w:r>
        <w:t xml:space="preserve">7.2 On receipt of full payment for a deliverable, the Supplier assigns to the Customer all rights, title and interest in the copyright and other intellectual property in the software and materials specifically created for the Customer under a SOW (“Custom Deliverables”), worldwide and for the full term of protection, without further payment. The Parties intend this assignment to satisfy Section 19 of the Copyright Act, 1957, and no right shall revert for non-exercise.</w:t>
      </w:r>
    </w:p>
    <w:p>
      <w:r>
        <w:t xml:space="preserve">7.3 The Supplier retains its pre-existing tools, libraries, frameworks and general know-how (“Supplier Background IP”). To the extent Supplier Background IP is embedded in a Custom Deliverable, the Supplier grants the Customer a non-exclusive, perpetual, irrevocable, worldwide, royalty-free licence to use, copy and modify it as part of that Custom Deliverable, but not to sell or license it separately.</w:t>
      </w:r>
    </w:p>
    <w:p>
      <w:r>
        <w:t xml:space="preserve">7.4 Until full payment, the Customer may use delivered work for testing and internal evaluation only. The Supplier may reuse its general skills and experience but not the Customer’s confidential information, and may name the Customer as a client only with the Customer’s written consent.</w:t>
      </w:r>
    </w:p>
    <w:p>
      <w:pPr>
        <w:keepNext/>
      </w:pPr>
      <w:r>
        <w:rPr>
          <w:b/>
          <w:bCs/>
        </w:rPr>
        <w:t xml:space="preserve">8. WARRANTIES</w:t>
      </w:r>
    </w:p>
    <w:p>
      <w:r>
        <w:t xml:space="preserve">8.1 Each Party represents and warrants that it has the authority and capacity to enter into this Agreement, that its execution and performance do not violate any applicable law or binding obligation, and that it shall comply with all applicable laws and maintain all licences and approvals needed to perform its obligations.</w:t>
      </w:r>
    </w:p>
    <w:p>
      <w:r>
        <w:t xml:space="preserve">8.2 The Supplier warrants that it shall perform the services with reasonable skill and care using suitably qualified personnel, that the deliverables shall conform to the agreed acceptance criteria, and that it shall not knowingly introduce malicious code. It shall disclose all open-source components used and comply with their licences.</w:t>
      </w:r>
    </w:p>
    <w:p>
      <w:r>
        <w:t xml:space="preserve">8.3 For </w:t>
      </w:r>
      <w:r>
        <w:rPr>
          <w:b/>
          <w:bCs/>
        </w:rPr>
        <w:t xml:space="preserve">90 days</w:t>
      </w:r>
      <w:r>
        <w:t xml:space="preserve"> after acceptance, the Supplier shall correct reproducible defects in the accepted deliverables at no additional charge. This does not cover defects caused by Customer modifications, third-party software or misuse.</w:t>
      </w:r>
    </w:p>
    <w:p>
      <w:pPr>
        <w:keepNext/>
      </w:pPr>
      <w:r>
        <w:rPr>
          <w:b/>
          <w:bCs/>
        </w:rPr>
        <w:t xml:space="preserve">9. CONFIDENTIALITY AND DATA PROTECTION</w:t>
      </w:r>
    </w:p>
    <w:p>
      <w:r>
        <w:t xml:space="preserve">9.1 Each Party shall keep the other Party’s confidential information in confidence, use it only to perform this Agreement, and disclose it only to employees, advisers and contractors who need to know it and are bound by confidentiality obligations.</w:t>
      </w:r>
    </w:p>
    <w:p>
      <w:r>
        <w:t xml:space="preserve">9.2 These obligations shall not apply to information that is publicly available other than through breach of this Agreement, was lawfully known to the receiving Party before disclosure, is independently developed without reference to the confidential information, or is required to be disclosed by law or a competent authority.</w:t>
      </w:r>
    </w:p>
    <w:p>
      <w:r>
        <w:t xml:space="preserve">9.3 Where the Supplier processes personal data on the Customer’s behalf, it shall do so only on the Customer’s documented instructions, comply with the Digital Personal Data Protection Act, 2023 and rules made under it, maintain reasonable security safeguards, and notify the Customer of any personal data breach within </w:t>
      </w:r>
      <w:r>
        <w:rPr>
          <w:b/>
          <w:bCs/>
        </w:rPr>
        <w:t xml:space="preserve">72 hours</w:t>
      </w:r>
      <w:r>
        <w:t xml:space="preserve"> of becoming aware of it.</w:t>
      </w:r>
    </w:p>
    <w:p>
      <w:r>
        <w:t xml:space="preserve">9.4 On expiry or termination, the Supplier shall return or delete the Customer’s data on request, and these obligations shall continue for </w:t>
      </w:r>
      <w:r>
        <w:rPr>
          <w:b/>
          <w:bCs/>
        </w:rPr>
        <w:t xml:space="preserve">5 years</w:t>
      </w:r>
      <w:r>
        <w:t xml:space="preserve"> after expiry or termination.</w:t>
      </w:r>
    </w:p>
    <w:p>
      <w:pPr>
        <w:keepNext/>
      </w:pPr>
      <w:r>
        <w:rPr>
          <w:b/>
          <w:bCs/>
        </w:rPr>
        <w:t xml:space="preserve">10. INDEMNITIES</w:t>
      </w:r>
    </w:p>
    <w:p>
      <w:r>
        <w:t xml:space="preserve">10.1 Each Party shall compensate the other for direct losses, claims and reasonable costs that arise directly from its own material breach, its or its personnel’s fraud, wilful misconduct or gross negligence, or its violation of applicable law.</w:t>
      </w:r>
    </w:p>
    <w:p>
      <w:r>
        <w:t xml:space="preserve">10.2 The Supplier shall indemnify the Customer against third-party claims that the Custom Deliverables, as delivered, infringe intellectual property rights in India. The Customer shall indemnify the Supplier against third-party claims that the Customer’s data or materials infringe intellectual property rights. The indemnifying Party’s obligations depend on prompt written notice, control of the defence, and reasonable cooperation.</w:t>
      </w:r>
    </w:p>
    <w:p>
      <w:r>
        <w:t xml:space="preserve">10.3 Neither Party shall be responsible to the other for indirect or consequential loss, including lost profit or lost business opportunity, save where the law does not permit that exclusion.</w:t>
      </w:r>
    </w:p>
    <w:p>
      <w:pPr>
        <w:keepNext/>
      </w:pPr>
      <w:r>
        <w:rPr>
          <w:b/>
          <w:bCs/>
        </w:rPr>
        <w:t xml:space="preserve">11. LIMITATION OF LIABILITY</w:t>
      </w:r>
    </w:p>
    <w:p>
      <w:r>
        <w:t xml:space="preserve">11.1 Subject to Clauses 11.2 and 11.3, each Party’s total liability in connection with a SOW shall not exceed </w:t>
      </w:r>
      <w:r>
        <w:rPr>
          <w:b/>
          <w:bCs/>
        </w:rPr>
        <w:t xml:space="preserve">150% of the total amounts paid or payable under that SOW during the preceding twelve months</w:t>
      </w:r>
      <w:r>
        <w:t xml:space="preserve">.</w:t>
      </w:r>
    </w:p>
    <w:p>
      <w:r>
        <w:t xml:space="preserve">11.2 The cap in Clause 11.1 does not apply to:</w:t>
      </w:r>
    </w:p>
    <w:p>
      <w:r>
        <w:t xml:space="preserve">(a) fraud or wilful misconduct by either Party;</w:t>
      </w:r>
    </w:p>
    <w:p>
      <w:r>
        <w:t xml:space="preserve">(b) infringement or misappropriation of the other Party’s intellectual property rights;</w:t>
      </w:r>
    </w:p>
    <w:p>
      <w:r>
        <w:t xml:space="preserve">(c) death or personal injury caused by negligence;</w:t>
      </w:r>
    </w:p>
    <w:p>
      <w:r>
        <w:t xml:space="preserve">(d) liabilities that cannot legally be limited or excluded; or</w:t>
      </w:r>
    </w:p>
    <w:p>
      <w:r>
        <w:t xml:space="preserve">(e) the Customer’s obligation to pay the sums due under this Agreement.</w:t>
      </w:r>
    </w:p>
    <w:p>
      <w:r>
        <w:t xml:space="preserve">11.3 Each Party’s aggregate liability for breach of Clause 9 (confidentiality and data protection) shall not exceed </w:t>
      </w:r>
      <w:r>
        <w:rPr>
          <w:b/>
          <w:bCs/>
        </w:rPr>
        <w:t xml:space="preserve">200% of the total amounts paid or payable under the relevant SOW during the preceding twelve months</w:t>
      </w:r>
      <w:r>
        <w:t xml:space="preserve">.</w:t>
      </w:r>
    </w:p>
    <w:p>
      <w:pPr>
        <w:keepNext/>
      </w:pPr>
      <w:r>
        <w:rPr>
          <w:b/>
          <w:bCs/>
        </w:rPr>
        <w:t xml:space="preserve">12. LIQUIDATED DAMAGES AND SERVICE CREDITS</w:t>
      </w:r>
    </w:p>
    <w:p>
      <w:r>
        <w:t xml:space="preserve">12.1 If the Supplier fails to deliver a milestone by the date stated in the SOW (as extended) and the delay exceeds </w:t>
      </w:r>
      <w:r>
        <w:rPr>
          <w:b/>
          <w:bCs/>
        </w:rPr>
        <w:t xml:space="preserve">5 business days</w:t>
      </w:r>
      <w:r>
        <w:t xml:space="preserve">, the Supplier shall pay the Customer liquidated damages at </w:t>
      </w:r>
      <w:r>
        <w:rPr>
          <w:b/>
          <w:bCs/>
        </w:rPr>
        <w:t xml:space="preserve">0.5% of the fee for that milestone for each week of delay</w:t>
      </w:r>
      <w:r>
        <w:t xml:space="preserve">, up to a maximum of </w:t>
      </w:r>
      <w:r>
        <w:rPr>
          <w:b/>
          <w:bCs/>
        </w:rPr>
        <w:t xml:space="preserve">5% of that milestone fee</w:t>
      </w:r>
      <w:r>
        <w:t xml:space="preserve">.</w:t>
      </w:r>
    </w:p>
    <w:p>
      <w:r>
        <w:t xml:space="preserve">12.2 If the Supplier fails to meet a support service level stated in the SOW, the Customer shall be entitled to a service credit of </w:t>
      </w:r>
      <w:r>
        <w:rPr>
          <w:b/>
          <w:bCs/>
        </w:rPr>
        <w:t xml:space="preserve">2% of the monthly support fee</w:t>
      </w:r>
      <w:r>
        <w:t xml:space="preserve"> for each missed service level, up to a maximum of </w:t>
      </w:r>
      <w:r>
        <w:rPr>
          <w:b/>
          <w:bCs/>
        </w:rPr>
        <w:t xml:space="preserve">10% of the monthly support fee</w:t>
      </w:r>
      <w:r>
        <w:t xml:space="preserve"> for that month.</w:t>
      </w:r>
    </w:p>
    <w:p>
      <w:r>
        <w:t xml:space="preserve">12.3 If the Customer fails to meet its responsibilities under Clause 2.1 and the delay exceeds </w:t>
      </w:r>
      <w:r>
        <w:rPr>
          <w:b/>
          <w:bCs/>
        </w:rPr>
        <w:t xml:space="preserve">5 business days</w:t>
      </w:r>
      <w:r>
        <w:t xml:space="preserve">, the Customer shall pay the Supplier liquidated damages at </w:t>
      </w:r>
      <w:r>
        <w:rPr>
          <w:b/>
          <w:bCs/>
        </w:rPr>
        <w:t xml:space="preserve">0.5% of the affected milestone fee for each week of delay</w:t>
      </w:r>
      <w:r>
        <w:t xml:space="preserve">, up to a maximum of </w:t>
      </w:r>
      <w:r>
        <w:rPr>
          <w:b/>
          <w:bCs/>
        </w:rPr>
        <w:t xml:space="preserve">5% of that milestone fee</w:t>
      </w:r>
      <w:r>
        <w:t xml:space="preserve">, towards idle-resource costs.</w:t>
      </w:r>
    </w:p>
    <w:p>
      <w:r>
        <w:t xml:space="preserve">12.4 Both Parties accept that delay losses are hard to quantify in advance. The sums above are a genuine pre-estimate of those losses, not a penalty, and each Party may recover only reasonable compensation up to the stated amounts, as Section 74 of the Indian Contract Act, 1872 requires.</w:t>
      </w:r>
    </w:p>
    <w:p>
      <w:r>
        <w:t xml:space="preserve">12.5 Payment of these amounts is the only monetary remedy for the delay or service failure concerned. It does not affect the right to terminate under Clause 13. No amount is payable where the delay comes from a force majeure event or from the claiming Party’s own act or omission.</w:t>
      </w:r>
    </w:p>
    <w:p>
      <w:pPr>
        <w:keepNext/>
      </w:pPr>
      <w:r>
        <w:rPr>
          <w:b/>
          <w:bCs/>
        </w:rPr>
        <w:t xml:space="preserve">13. TERM, TERMINATION AND TRANSITION</w:t>
      </w:r>
    </w:p>
    <w:p>
      <w:r>
        <w:t xml:space="preserve">13.1 This Agreement shall commence on the Effective Date and remain in force for </w:t>
      </w:r>
      <w:r>
        <w:rPr>
          <w:b/>
          <w:bCs/>
        </w:rPr>
        <w:t xml:space="preserve">2 years</w:t>
      </w:r>
      <w:r>
        <w:t xml:space="preserve">, unless extended by mutual written agreement or terminated earlier in accordance with this Clause.</w:t>
      </w:r>
    </w:p>
    <w:p>
      <w:r>
        <w:t xml:space="preserve">13.2 Either Party may terminate this Agreement or any SOW for convenience by giving </w:t>
      </w:r>
      <w:r>
        <w:rPr>
          <w:b/>
          <w:bCs/>
        </w:rPr>
        <w:t xml:space="preserve">45 days’</w:t>
      </w:r>
      <w:r>
        <w:t xml:space="preserve"> prior written notice to the other Party.</w:t>
      </w:r>
    </w:p>
    <w:p>
      <w:r>
        <w:t xml:space="preserve">13.3 Either Party may end this Agreement or any SOW at once by written notice if the other Party breaches it materially and does not remedy the breach within </w:t>
      </w:r>
      <w:r>
        <w:rPr>
          <w:b/>
          <w:bCs/>
        </w:rPr>
        <w:t xml:space="preserve">20 days</w:t>
      </w:r>
      <w:r>
        <w:t xml:space="preserve"> of a written notice, is declared insolvent or goes into liquidation (subject to applicable law), or stops carrying on business.</w:t>
      </w:r>
    </w:p>
    <w:p>
      <w:r>
        <w:t xml:space="preserve">13.4 Rights and obligations that accrued before termination takes effect are unaffected by it.</w:t>
      </w:r>
    </w:p>
    <w:p>
      <w:r>
        <w:t xml:space="preserve">13.5 On termination, the Customer shall pay for services performed and deliverables accepted up to the effective date, and for work in progress on the current milestone in proportion to the work completed, assessed reasonably from time spent at the SOW rates. The Supplier shall then deliver the work in progress, and intellectual property in it shall pass under Clause 7 on payment.</w:t>
      </w:r>
    </w:p>
    <w:p>
      <w:r>
        <w:t xml:space="preserve">13.6 At the Customer’s request, the Supplier shall provide reasonable transition assistance for up to </w:t>
      </w:r>
      <w:r>
        <w:rPr>
          <w:b/>
          <w:bCs/>
        </w:rPr>
        <w:t xml:space="preserve">30 days</w:t>
      </w:r>
      <w:r>
        <w:t xml:space="preserve"> at the rates in the SOW. Clauses 7, 9, 10, 11, 15 and 16 shall survive termination.</w:t>
      </w:r>
    </w:p>
    <w:p>
      <w:pPr>
        <w:keepNext/>
      </w:pPr>
      <w:r>
        <w:rPr>
          <w:b/>
          <w:bCs/>
        </w:rPr>
        <w:t xml:space="preserve">14. FORCE MAJEURE</w:t>
      </w:r>
    </w:p>
    <w:p>
      <w:r>
        <w:t xml:space="preserve">14.1 A Party is excused from performing its obligations (except payment obligations already due) to the extent performance is prevented or delayed by events outside its reasonable control, such as natural disaster, epidemic, war, terrorism, fire, flood, government action, or a widespread failure of power, telecom or internet infrastructure (“force majeure event”). Failures of a Party’s own subcontractors or staff shortages do not qualify unless themselves caused by such an event.</w:t>
      </w:r>
    </w:p>
    <w:p>
      <w:r>
        <w:t xml:space="preserve">14.2 The affected Party shall give written notice within </w:t>
      </w:r>
      <w:r>
        <w:rPr>
          <w:b/>
          <w:bCs/>
        </w:rPr>
        <w:t xml:space="preserve">5 business days</w:t>
      </w:r>
      <w:r>
        <w:t xml:space="preserve"> of the event beginning, describe its expected effect and duration, and use reasonable efforts to resume performance.</w:t>
      </w:r>
    </w:p>
    <w:p>
      <w:r>
        <w:t xml:space="preserve">14.3 If the event lasts longer than </w:t>
      </w:r>
      <w:r>
        <w:rPr>
          <w:b/>
          <w:bCs/>
        </w:rPr>
        <w:t xml:space="preserve">60 days</w:t>
      </w:r>
      <w:r>
        <w:t xml:space="preserve">, either Party may end the affected SOW on written notice without liability, except for payment for work already performed.</w:t>
      </w:r>
    </w:p>
    <w:p>
      <w:pPr>
        <w:keepNext/>
      </w:pPr>
      <w:r>
        <w:rPr>
          <w:b/>
          <w:bCs/>
        </w:rPr>
        <w:t xml:space="preserve">15. DISPUTE RESOLUTION</w:t>
      </w:r>
    </w:p>
    <w:p>
      <w:r>
        <w:t xml:space="preserve">15.1 Any dispute arising out of or in connection with this Agreement shall first be discussed in good faith by the Parties’ authorised representatives for </w:t>
      </w:r>
      <w:r>
        <w:rPr>
          <w:b/>
          <w:bCs/>
        </w:rPr>
        <w:t xml:space="preserve">15 days</w:t>
      </w:r>
      <w:r>
        <w:t xml:space="preserve">.</w:t>
      </w:r>
    </w:p>
    <w:p>
      <w:r>
        <w:t xml:space="preserve">15.2 If unresolved, the dispute shall be escalated to a senior executive of each Party, who shall meet within </w:t>
      </w:r>
      <w:r>
        <w:rPr>
          <w:b/>
          <w:bCs/>
        </w:rPr>
        <w:t xml:space="preserve">15 days</w:t>
      </w:r>
      <w:r>
        <w:t xml:space="preserve">. If the dispute remains unresolved after a further </w:t>
      </w:r>
      <w:r>
        <w:rPr>
          <w:b/>
          <w:bCs/>
        </w:rPr>
        <w:t xml:space="preserve">15 days</w:t>
      </w:r>
      <w:r>
        <w:t xml:space="preserve">, the Parties shall attempt mediation under the Mediation Act, 2023 before a mediator they jointly choose, for up to </w:t>
      </w:r>
      <w:r>
        <w:rPr>
          <w:b/>
          <w:bCs/>
        </w:rPr>
        <w:t xml:space="preserve">30 days</w:t>
      </w:r>
      <w:r>
        <w:t xml:space="preserve">.</w:t>
      </w:r>
    </w:p>
    <w:p>
      <w:r>
        <w:t xml:space="preserve">15.3 If mediation fails, either Party may refer the dispute to arbitration in accordance with the </w:t>
      </w:r>
      <w:r>
        <w:rPr>
          <w:b/>
          <w:bCs/>
        </w:rPr>
        <w:t xml:space="preserve">Arbitration and Conciliation Act, 1996</w:t>
      </w:r>
      <w:r>
        <w:t xml:space="preserve">, before a sole arbitrator mutually appointed by the Parties (or, failing agreement within </w:t>
      </w:r>
      <w:r>
        <w:rPr>
          <w:b/>
          <w:bCs/>
        </w:rPr>
        <w:t xml:space="preserve">30 days</w:t>
      </w:r>
      <w:r>
        <w:t xml:space="preserve">, appointed under Section 11 of that Act).</w:t>
      </w:r>
    </w:p>
    <w:p>
      <w:r>
        <w:t xml:space="preserve">15.4 The arbitration shall be seated at </w:t>
      </w:r>
      <w:r>
        <w:rPr>
          <w:b/>
          <w:bCs/>
        </w:rPr>
        <w:t xml:space="preserve">Chennai, Tamil Nadu</w:t>
      </w:r>
      <w:r>
        <w:t xml:space="preserve"> and conducted in English. Each Party shall bear its own costs and share the arbitrator’s fees equally, subject to the tribunal’s final award.</w:t>
      </w:r>
    </w:p>
    <w:p>
      <w:r>
        <w:t xml:space="preserve">15.5 Nothing in this Clause prevents a Party from seeking interim relief from a competent court. </w:t>
      </w:r>
      <w:r>
        <w:rPr>
          <w:b/>
          <w:bCs/>
        </w:rPr>
        <w:t xml:space="preserve">This Clause does not restrict any statutory remedy available to a micro or small enterprise under the MSMED Act, including reference to the Micro and Small Enterprises Facilitation Council.</w:t>
      </w:r>
    </w:p>
    <w:p>
      <w:pPr>
        <w:keepNext/>
      </w:pPr>
      <w:r>
        <w:rPr>
          <w:b/>
          <w:bCs/>
        </w:rPr>
        <w:t xml:space="preserve">16. GOVERNING LAW AND JURISDICTION</w:t>
      </w:r>
    </w:p>
    <w:p>
      <w:r>
        <w:t xml:space="preserve">16.1 The laws of India govern this Agreement and its interpretation.</w:t>
      </w:r>
    </w:p>
    <w:p>
      <w:r>
        <w:t xml:space="preserve">16.2 Subject to Clause 15 and statutory remedies, the courts at </w:t>
      </w:r>
      <w:r>
        <w:rPr>
          <w:b/>
          <w:bCs/>
        </w:rPr>
        <w:t xml:space="preserve">Chennai, Tamil Nadu</w:t>
      </w:r>
      <w:r>
        <w:t xml:space="preserve"> shall have jurisdiction over matters arising from this Agreement.</w:t>
      </w:r>
    </w:p>
    <w:p>
      <w:pPr>
        <w:keepNext/>
      </w:pPr>
      <w:r>
        <w:rPr>
          <w:b/>
          <w:bCs/>
        </w:rPr>
        <w:t xml:space="preserve">17. NOTICES</w:t>
      </w:r>
    </w:p>
    <w:p>
      <w:r>
        <w:t xml:space="preserve">17.1 Notices under this Agreement must be in writing and sent to the address or email notified by the receiving Party, by hand, registered post, courier or email.</w:t>
      </w:r>
    </w:p>
    <w:p>
      <w:r>
        <w:t xml:space="preserve">17.2 A notice takes effect on delivery by hand or courier, three business days after posting, or the next business day after an email is sent without a bounce-back.</w:t>
      </w:r>
    </w:p>
    <w:p>
      <w:r>
        <w:t xml:space="preserve">17.3 Each Party shall keep its notice details current by informing the other Party of any change without delay.</w:t>
      </w:r>
    </w:p>
    <w:p>
      <w:pPr>
        <w:keepNext/>
      </w:pPr>
      <w:r>
        <w:rPr>
          <w:b/>
          <w:bCs/>
        </w:rPr>
        <w:t xml:space="preserve">18. ASSIGNMENT AND SUBCONTRACTING</w:t>
      </w:r>
    </w:p>
    <w:p>
      <w:r>
        <w:t xml:space="preserve">18.1 Neither Party shall assign this Agreement or any right under it without the prior written consent of the other, except to an affiliate or to a successor in a merger, restructuring or sale of substantially all of its business, on prior written notice and subject to applicable law.</w:t>
      </w:r>
    </w:p>
    <w:p>
      <w:r>
        <w:t xml:space="preserve">18.2 The Supplier may use subcontractors for defined parts of the work with the Customer’s prior written consent, not to be unreasonably withheld. The Supplier remains liable for its subcontractors as for itself.</w:t>
      </w:r>
    </w:p>
    <w:p>
      <w:pPr>
        <w:keepNext/>
      </w:pPr>
      <w:r>
        <w:rPr>
          <w:b/>
          <w:bCs/>
        </w:rPr>
        <w:t xml:space="preserve">19. AMENDMENT</w:t>
      </w:r>
    </w:p>
    <w:p>
      <w:r>
        <w:t xml:space="preserve">This Agreement may be varied only by a written document signed by authorised representatives of both Parties.</w:t>
      </w:r>
    </w:p>
    <w:p>
      <w:pPr>
        <w:keepNext/>
      </w:pPr>
      <w:r>
        <w:rPr>
          <w:b/>
          <w:bCs/>
        </w:rPr>
        <w:t xml:space="preserve">20. ENTIRE AGREEMENT AND SEVERABILITY</w:t>
      </w:r>
    </w:p>
    <w:p>
      <w:r>
        <w:t xml:space="preserve">20.1 This Agreement, together with each SOW, is the complete agreement between the Parties on its subject matter and supersedes all prior discussions, proposals and understandings on it.</w:t>
      </w:r>
    </w:p>
    <w:p>
      <w:r>
        <w:t xml:space="preserve">20.2 If a court or tribunal finds any provision invalid, the rest of this Agreement remains in force and the Parties shall agree a valid substitute that matches the original intent as closely as possible.</w:t>
      </w:r>
    </w:p>
    <w:p>
      <w:r>
        <w:t xml:space="preserve">20.3 Neither Party waives a right merely by delaying to exercise it.</w:t>
      </w:r>
    </w:p>
    <w:p>
      <w:pPr>
        <w:keepNext/>
      </w:pPr>
      <w:r>
        <w:rPr>
          <w:b/>
          <w:bCs/>
        </w:rPr>
        <w:t xml:space="preserve">SIGNATURES</w:t>
      </w:r>
    </w:p>
    <w:p>
      <w:pPr>
        <w:keepNext/>
      </w:pPr>
      <w:r>
        <w:rPr>
          <w:b/>
          <w:bCs/>
        </w:rPr>
        <w:t xml:space="preserve">For Bytewright Software Solutions LLP</w:t>
      </w:r>
    </w:p>
    <w:p>
      <w:r>
        <w:t xml:space="preserve">Signature: ____________________</w:t>
      </w:r>
      <w:r>
        <w:br/>
        <w:t xml:space="preserve">Name: Nikhil Rao</w:t>
      </w:r>
      <w:r>
        <w:br/>
        <w:t xml:space="preserve">Designation: Designated Partner</w:t>
      </w:r>
      <w:r>
        <w:br/>
        <w:t xml:space="preserve">Date: 3 March 2026</w:t>
      </w:r>
    </w:p>
    <w:p>
      <w:pPr>
        <w:keepNext/>
      </w:pPr>
      <w:r>
        <w:rPr>
          <w:b/>
          <w:bCs/>
        </w:rPr>
        <w:t xml:space="preserve">For Malabar Retail Logistics Private Limited</w:t>
      </w:r>
    </w:p>
    <w:p>
      <w:r>
        <w:t xml:space="preserve">Signature: ____________________</w:t>
      </w:r>
      <w:r>
        <w:br/>
        <w:t xml:space="preserve">Name: Fathima Rahman</w:t>
      </w:r>
      <w:r>
        <w:br/>
        <w:t xml:space="preserve">Designation: Chief Technology Officer</w:t>
      </w:r>
      <w:r>
        <w:br/>
        <w:t xml:space="preserve">Date: 3 March 2026</w:t>
      </w:r>
    </w:p>
    <w:p>
      <w:r>
        <w:pict>
          <v:rect id="_x0000_i1045" style="width:0;height:1.5pt" o:hralign="center" o:hrstd="t" o:hr="t" fillcolor="#a0a0a0" stroked="f"/>
        </w:pict>
      </w:r>
    </w:p>
    <w:sectPr w:rsidR="00C37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2F"/>
    <w:rsid w:val="001C7B2F"/>
    <w:rsid w:val="003A1A17"/>
    <w:rsid w:val="007810EC"/>
    <w:rsid w:val="00C370B3"/>
    <w:rsid w:val="00FC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5CCE"/>
  <w15:chartTrackingRefBased/>
  <w15:docId w15:val="{4F48D1CB-7E9F-41A2-8709-90BA1479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2F"/>
    <w:rPr>
      <w:rFonts w:eastAsiaTheme="majorEastAsia" w:cstheme="majorBidi"/>
      <w:color w:val="272727" w:themeColor="text1" w:themeTint="D8"/>
    </w:rPr>
  </w:style>
  <w:style w:type="paragraph" w:styleId="Title">
    <w:name w:val="Title"/>
    <w:basedOn w:val="Normal"/>
    <w:next w:val="Normal"/>
    <w:link w:val="TitleChar"/>
    <w:uiPriority w:val="10"/>
    <w:qFormat/>
    <w:rsid w:val="001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B2F"/>
    <w:rPr>
      <w:i/>
      <w:iCs/>
      <w:color w:val="404040" w:themeColor="text1" w:themeTint="BF"/>
    </w:rPr>
  </w:style>
  <w:style w:type="paragraph" w:styleId="ListParagraph">
    <w:name w:val="List Paragraph"/>
    <w:basedOn w:val="Normal"/>
    <w:uiPriority w:val="34"/>
    <w:qFormat/>
    <w:rsid w:val="001C7B2F"/>
    <w:pPr>
      <w:ind w:left="720"/>
      <w:contextualSpacing/>
    </w:pPr>
  </w:style>
  <w:style w:type="character" w:styleId="IntenseEmphasis">
    <w:name w:val="Intense Emphasis"/>
    <w:basedOn w:val="DefaultParagraphFont"/>
    <w:uiPriority w:val="21"/>
    <w:qFormat/>
    <w:rsid w:val="001C7B2F"/>
    <w:rPr>
      <w:i/>
      <w:iCs/>
      <w:color w:val="2F5496" w:themeColor="accent1" w:themeShade="BF"/>
    </w:rPr>
  </w:style>
  <w:style w:type="paragraph" w:styleId="IntenseQuote">
    <w:name w:val="Intense Quote"/>
    <w:basedOn w:val="Normal"/>
    <w:next w:val="Normal"/>
    <w:link w:val="IntenseQuoteChar"/>
    <w:uiPriority w:val="30"/>
    <w:qFormat/>
    <w:rsid w:val="001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B2F"/>
    <w:rPr>
      <w:i/>
      <w:iCs/>
      <w:color w:val="2F5496" w:themeColor="accent1" w:themeShade="BF"/>
    </w:rPr>
  </w:style>
  <w:style w:type="character" w:styleId="IntenseReference">
    <w:name w:val="Intense Reference"/>
    <w:basedOn w:val="DefaultParagraphFont"/>
    <w:uiPriority w:val="32"/>
    <w:qFormat/>
    <w:rsid w:val="001C7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1809</Words>
  <Characters>10313</Characters>
  <Application>Microsoft Office Word</Application>
  <DocSecurity>0</DocSecurity>
  <Lines>85</Lines>
  <Paragraphs>24</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MSME-BENCHMARK-3</dc:title>
  <dc:subject/>
  <dc:creator>madhura vittal</dc:creator>
  <cp:keywords/>
  <dc:description/>
  <cp:lastModifiedBy>madhura vittal</cp:lastModifiedBy>
  <cp:revision>1</cp:revision>
  <dcterms:created xsi:type="dcterms:W3CDTF">2026-08-26T17:02:00Z</dcterms:created>
  <dcterms:modified xsi:type="dcterms:W3CDTF">2026-08-26T17:04:00Z</dcterms:modified>
</cp:coreProperties>
</file>