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DESIGN AND DIGITAL MARKETING SERVICES AGREEMENT</w:t>
      </w:r>
    </w:p>
    <w:p>
      <w:r>
        <w:t xml:space="preserve">This </w:t>
      </w:r>
      <w:r>
        <w:rPr>
          <w:b/>
          <w:bCs/>
        </w:rPr>
        <w:t xml:space="preserve">Design and Digital Marketing Services Agreement</w:t>
      </w:r>
      <w:r>
        <w:t xml:space="preserve"> (“Agreement”) is entered into on this 7th day of May</w:t>
      </w:r>
      <w:r>
        <w:rPr>
          <w:b/>
          <w:bCs/>
        </w:rPr>
        <w:t xml:space="preserve">, 2026</w:t>
      </w:r>
      <w:r>
        <w:t xml:space="preserve"> (“Effective Date”)</w:t>
      </w:r>
    </w:p>
    <w:p>
      <w:r>
        <w:rPr>
          <w:b/>
          <w:bCs/>
        </w:rPr>
        <w:t xml:space="preserve">BY AND BETWEEN</w:t>
      </w:r>
    </w:p>
    <w:p>
      <w:r>
        <w:rPr>
          <w:b/>
          <w:bCs/>
        </w:rPr>
        <w:t xml:space="preserve">Pinkcity Creative Studio</w:t>
      </w:r>
      <w:r>
        <w:t xml:space="preserve">, a sole proprietorship carried on by </w:t>
      </w:r>
      <w:r>
        <w:rPr>
          <w:b/>
          <w:bCs/>
        </w:rPr>
        <w:t xml:space="preserve">Ms. Ritu Agarwal</w:t>
      </w:r>
      <w:r>
        <w:t xml:space="preserve"> under the laws of India, having its principal place of business at </w:t>
      </w:r>
      <w:r>
        <w:rPr>
          <w:b/>
          <w:bCs/>
        </w:rPr>
        <w:t xml:space="preserve">B-2/14, Jyoti Nagar, Jaipur, Rajasthan 302005</w:t>
      </w:r>
      <w:r>
        <w:t xml:space="preserve">, bearing Udyam Registration No. </w:t>
      </w:r>
      <w:r>
        <w:rPr>
          <w:b/>
          <w:bCs/>
        </w:rPr>
        <w:t xml:space="preserve">UDYAM-RJ-17-0165283</w:t>
      </w:r>
      <w:r>
        <w:t xml:space="preserve"> and GSTIN </w:t>
      </w:r>
      <w:r>
        <w:rPr>
          <w:b/>
          <w:bCs/>
        </w:rPr>
        <w:t xml:space="preserve">08BQRPA3320D1Z9</w:t>
      </w:r>
      <w:r>
        <w:t xml:space="preserve">, hereinafter referred to as the </w:t>
      </w:r>
      <w:r>
        <w:rPr>
          <w:b/>
          <w:bCs/>
        </w:rPr>
        <w:t xml:space="preserve">“Supplier”</w:t>
      </w:r>
      <w:r>
        <w:t xml:space="preserve"> (which expression shall, unless repugnant to the context, include its successors and permitted assigns);</w:t>
      </w:r>
    </w:p>
    <w:p>
      <w:r>
        <w:rPr>
          <w:b/>
          <w:bCs/>
        </w:rPr>
        <w:t xml:space="preserve">AND</w:t>
      </w:r>
    </w:p>
    <w:p>
      <w:r>
        <w:rPr>
          <w:b/>
          <w:bCs/>
        </w:rPr>
        <w:t xml:space="preserve">Urbannest Home Furnishings Private Limited</w:t>
      </w:r>
      <w:r>
        <w:t xml:space="preserve">, a company incorporated under the Companies Act, 2013, having its registered office at </w:t>
      </w:r>
      <w:r>
        <w:rPr>
          <w:b/>
          <w:bCs/>
        </w:rPr>
        <w:t xml:space="preserve">Plot No. 212, Udyog Vihar, Phase IV, Gurugram, Haryana 122015</w:t>
      </w:r>
      <w:r>
        <w:t xml:space="preserve">, bearing CIN </w:t>
      </w:r>
      <w:r>
        <w:rPr>
          <w:b/>
          <w:bCs/>
        </w:rPr>
        <w:t xml:space="preserve">U74999HR2017PTC067201</w:t>
      </w:r>
      <w:r>
        <w:t xml:space="preserve"> and GSTIN </w:t>
      </w:r>
      <w:r>
        <w:rPr>
          <w:b/>
          <w:bCs/>
        </w:rPr>
        <w:t xml:space="preserve">06AAHCU6690N1ZK</w:t>
      </w:r>
      <w:r>
        <w:t xml:space="preserve">, hereinafter referred to as the </w:t>
      </w:r>
      <w:r>
        <w:rPr>
          <w:b/>
          <w:bCs/>
        </w:rPr>
        <w:t xml:space="preserve">“Customer”</w:t>
      </w:r>
      <w:r>
        <w:t xml:space="preserve"> (which expression shall, unless repugnant to the context, include its successors and permitted assigns).</w:t>
      </w:r>
    </w:p>
    <w:p>
      <w:r>
        <w:t xml:space="preserve">The Supplier and Customer are individually referred to as a </w:t>
      </w:r>
      <w:r>
        <w:rPr>
          <w:b/>
          <w:bCs/>
        </w:rPr>
        <w:t xml:space="preserve">“Party”</w:t>
      </w:r>
      <w:r>
        <w:t xml:space="preserve"> and collectively as the </w:t>
      </w:r>
      <w:r>
        <w:rPr>
          <w:b/>
          <w:bCs/>
        </w:rPr>
        <w:t xml:space="preserve">“Parties.”</w:t>
      </w:r>
    </w:p>
    <w:p>
      <w:pPr>
        <w:keepNext/>
      </w:pPr>
      <w:r>
        <w:rPr>
          <w:b/>
          <w:bCs/>
        </w:rPr>
        <w:t xml:space="preserve">1. SERVICES AND PROJECT BRIEFS</w:t>
      </w:r>
    </w:p>
    <w:p>
      <w:r>
        <w:t xml:space="preserve">1.1 The Supplier shall provide the branding, graphic design, website design and digital marketing services described in each project brief (“Project Brief”) agreed between the Parties, in accordance with the terms of this Agreement.</w:t>
      </w:r>
    </w:p>
    <w:p>
      <w:r>
        <w:t xml:space="preserve">1.2 Each Project Brief shall set out the deliverables, timelines, fees, the number of included revisions, hourly rates for additional work, and any third-party costs, and shall form an integral part of this Agreement. In the event of any conflict between this Agreement and a Project Brief, this Agreement shall prevail unless the Project Brief expressly states that the relevant provision of this Agreement is being amended.</w:t>
      </w:r>
    </w:p>
    <w:p>
      <w:pPr>
        <w:keepNext/>
      </w:pPr>
      <w:r>
        <w:rPr>
          <w:b/>
          <w:bCs/>
        </w:rPr>
        <w:t xml:space="preserve">2. CUSTOMER INPUTS AND APPROVALS</w:t>
      </w:r>
    </w:p>
    <w:p>
      <w:r>
        <w:t xml:space="preserve">2.1 The Customer shall provide the content, brand assets and information needed for each project, and shall give consolidated feedback on each draft within </w:t>
      </w:r>
      <w:r>
        <w:rPr>
          <w:b/>
          <w:bCs/>
        </w:rPr>
        <w:t xml:space="preserve">5 business days</w:t>
      </w:r>
      <w:r>
        <w:t xml:space="preserve"> of receiving it, through a single designated approver.</w:t>
      </w:r>
    </w:p>
    <w:p>
      <w:r>
        <w:t xml:space="preserve">2.2 Timelines shall be extended day for day for any delay by the Customer in providing inputs or feedback.</w:t>
      </w:r>
    </w:p>
    <w:p>
      <w:r>
        <w:t xml:space="preserve">2.3 The Customer warrants that it owns or has the right to use all content and materials it provides to the Supplier.</w:t>
      </w:r>
    </w:p>
    <w:p>
      <w:pPr>
        <w:keepNext/>
      </w:pPr>
      <w:r>
        <w:rPr>
          <w:b/>
          <w:bCs/>
        </w:rPr>
        <w:t xml:space="preserve">3. REVISIONS AND SIGN-OFF</w:t>
      </w:r>
    </w:p>
    <w:p>
      <w:r>
        <w:t xml:space="preserve">3.1 Each deliverable includes </w:t>
      </w:r>
      <w:r>
        <w:rPr>
          <w:b/>
          <w:bCs/>
        </w:rPr>
        <w:t xml:space="preserve">two rounds</w:t>
      </w:r>
      <w:r>
        <w:t xml:space="preserve"> of consolidated revisions within the scope of the Project Brief. Further revisions or changes in scope shall be charged at the hourly rates in the Project Brief, after the Supplier has given a written estimate and the Customer has approved it.</w:t>
      </w:r>
    </w:p>
    <w:p>
      <w:r>
        <w:t xml:space="preserve">3.2 The Customer shall accept each deliverable in writing or notify the Supplier in writing, within </w:t>
      </w:r>
      <w:r>
        <w:rPr>
          <w:b/>
          <w:bCs/>
        </w:rPr>
        <w:t xml:space="preserve">7 business days</w:t>
      </w:r>
      <w:r>
        <w:t xml:space="preserve"> of delivery, of how it fails to meet the Project Brief.</w:t>
      </w:r>
    </w:p>
    <w:p>
      <w:r>
        <w:t xml:space="preserve">3.3 A deliverable shall be deemed accepted if the Customer gives no feedback within that period and has not put it into use.</w:t>
      </w:r>
    </w:p>
    <w:p>
      <w:pPr>
        <w:keepNext/>
      </w:pPr>
      <w:r>
        <w:rPr>
          <w:b/>
          <w:bCs/>
        </w:rPr>
        <w:t xml:space="preserve">4. FEES, TAXES AND THIRD-PARTY COSTS</w:t>
      </w:r>
    </w:p>
    <w:p>
      <w:r>
        <w:t xml:space="preserve">4.1 The fees shall be as stated in the Project Brief, either as a fixed project fee or as a monthly retainer.</w:t>
      </w:r>
    </w:p>
    <w:p>
      <w:r>
        <w:t xml:space="preserve">4.2 Unless expressly stated otherwise, fees shall be exclusive of applicable GST and other statutory taxes, and any change in such taxes after the Effective Date shall be borne by the Party legally liable for it. The Supplier shall issue valid tax invoices.</w:t>
      </w:r>
    </w:p>
    <w:p>
      <w:r>
        <w:t xml:space="preserve">4.3 Third-party costs, such as stock assets, fonts, plug-ins and hosting, shall be incurred only with the Customer’s prior written approval and charged at actual cost without mark-up. Advertising and media spend shall be paid by the Customer directly to the platform or pre-funded before a campaign starts, and the Supplier shall not be required to fund it.</w:t>
      </w:r>
    </w:p>
    <w:p>
      <w:pPr>
        <w:keepNext/>
      </w:pPr>
      <w:r>
        <w:rPr>
          <w:b/>
          <w:bCs/>
        </w:rPr>
        <w:t xml:space="preserve">5. PAYMENT TERMS</w:t>
      </w:r>
    </w:p>
    <w:p>
      <w:r>
        <w:t xml:space="preserve">5.1 For fixed-fee projects, </w:t>
      </w:r>
      <w:r>
        <w:rPr>
          <w:b/>
          <w:bCs/>
        </w:rPr>
        <w:t xml:space="preserve">30%</w:t>
      </w:r>
      <w:r>
        <w:t xml:space="preserve"> of the project fee shall be invoiced on signing the Project Brief and paid within </w:t>
      </w:r>
      <w:r>
        <w:rPr>
          <w:b/>
          <w:bCs/>
        </w:rPr>
        <w:t xml:space="preserve">7 days</w:t>
      </w:r>
      <w:r>
        <w:t xml:space="preserve"> of invoice, and the balance shall be paid within </w:t>
      </w:r>
      <w:r>
        <w:rPr>
          <w:b/>
          <w:bCs/>
        </w:rPr>
        <w:t xml:space="preserve">15 days</w:t>
      </w:r>
      <w:r>
        <w:t xml:space="preserve"> from the date of acceptance (or deemed acceptance) of the final deliverable, subject to receipt of a valid tax invoice.</w:t>
      </w:r>
    </w:p>
    <w:p>
      <w:r>
        <w:t xml:space="preserve">5.2 For retainers, fees shall be invoiced at the end of each month and paid within </w:t>
      </w:r>
      <w:r>
        <w:rPr>
          <w:b/>
          <w:bCs/>
        </w:rPr>
        <w:t xml:space="preserve">15 days</w:t>
      </w:r>
      <w:r>
        <w:t xml:space="preserve"> of invoice.</w:t>
      </w:r>
    </w:p>
    <w:p>
      <w:r>
        <w:t xml:space="preserve">5.3 Where the Customer queries only part of an invoice, it shall pay the remainder on the due date. An invoice objection is valid only if the Customer states its reasons in writing within </w:t>
      </w:r>
      <w:r>
        <w:rPr>
          <w:b/>
          <w:bCs/>
        </w:rPr>
        <w:t xml:space="preserve">7 business days</w:t>
      </w:r>
      <w:r>
        <w:t xml:space="preserve"> of receipt. The Parties shall act in good faith to resolve it promptly.</w:t>
      </w:r>
    </w:p>
    <w:p>
      <w:r>
        <w:t xml:space="preserve">5.4 </w:t>
      </w:r>
      <w:r>
        <w:rPr>
          <w:b/>
          <w:bCs/>
        </w:rPr>
        <w:t xml:space="preserve">The Supplier being a micro enterprise, the payment periods in this Agreement are subject to the limit set by the Micro, Small and Medium Enterprises Development Act, 2006 (“MSMED Act”), which shall prevail if it is shorter.</w:t>
      </w:r>
    </w:p>
    <w:p>
      <w:r>
        <w:t xml:space="preserve">5.5 Where payment is made after the statutory period, the Customer shall also pay interest at the rate and in the manner set by the MSMED Act, to the extent the law mandates.</w:t>
      </w:r>
    </w:p>
    <w:p>
      <w:pPr>
        <w:keepNext/>
      </w:pPr>
      <w:r>
        <w:rPr>
          <w:b/>
          <w:bCs/>
        </w:rPr>
        <w:t xml:space="preserve">6. OWNERSHIP OF WORK AND INTELLECTUAL PROPERTY</w:t>
      </w:r>
    </w:p>
    <w:p>
      <w:r>
        <w:t xml:space="preserve">6.1 Each Party remains the owner of its pre-existing intellectual property, and the Customer shall retain ownership of the content and materials it provides.</w:t>
      </w:r>
    </w:p>
    <w:p>
      <w:r>
        <w:t xml:space="preserve">6.2 On receipt of full payment for a deliverable, the Supplier assigns to the Customer the copyright and all other intellectual property in the finalised and accepted logos, designs, copy and website design files created for the Customer (“Final Deliverables”), worldwide, in perpetuity and without further payment. The Parties intend this assignment to satisfy Section 19 of the Copyright Act, 1957. The Supplier shall not exercise its moral rights so as to restrict the Customer’s ordinary use, adaptation and commercial exploitation of the Final Deliverables, to the extent permitted by law.</w:t>
      </w:r>
    </w:p>
    <w:p>
      <w:r>
        <w:t xml:space="preserve">6.3 The Supplier retains ownership of its drafts, rejected concepts, working files, templates, tools and know-how. To the extent any pre-existing Supplier material is embedded in a Final Deliverable, the Supplier grants the Customer a non-exclusive, perpetual, worldwide, royalty-free licence to use it as part of that Final Deliverable.</w:t>
      </w:r>
    </w:p>
    <w:p>
      <w:r>
        <w:t xml:space="preserve">6.4 Third-party assets are licensed on the third party’s terms, which the Supplier shall disclose in advance. The Customer’s use is limited to the scope of those terms unless it pays for an extended licence.</w:t>
      </w:r>
    </w:p>
    <w:p>
      <w:r>
        <w:t xml:space="preserve">6.5 Until full payment, the Customer may use draft work for internal review only. After public release, the Supplier may display Final Deliverables in its portfolio unless the Project Brief states that they are confidential.</w:t>
      </w:r>
    </w:p>
    <w:p>
      <w:pPr>
        <w:keepNext/>
      </w:pPr>
      <w:r>
        <w:rPr>
          <w:b/>
          <w:bCs/>
        </w:rPr>
        <w:t xml:space="preserve">7. MSME STATUS</w:t>
      </w:r>
    </w:p>
    <w:p>
      <w:r>
        <w:t xml:space="preserve">7.1 The Supplier declares that it is registered as a </w:t>
      </w:r>
      <w:r>
        <w:rPr>
          <w:b/>
          <w:bCs/>
        </w:rPr>
        <w:t xml:space="preserve">micro enterprise</w:t>
      </w:r>
      <w:r>
        <w:t xml:space="preserve">, holds a valid Udyam Registration Certificate and will provide a copy on the Customer’s request.</w:t>
      </w:r>
    </w:p>
    <w:p>
      <w:r>
        <w:t xml:space="preserve">7.2 The Supplier shall inform the Customer promptly in writing of a material change in its classification or registration status, and nothing in this Agreement operates as a waiver of its MSMED Act rights.</w:t>
      </w:r>
    </w:p>
    <w:p>
      <w:pPr>
        <w:keepNext/>
      </w:pPr>
      <w:r>
        <w:rPr>
          <w:b/>
          <w:bCs/>
        </w:rPr>
        <w:t xml:space="preserve">8. WARRANTIES AND RESPONSIBILITIES</w:t>
      </w:r>
    </w:p>
    <w:p>
      <w:r>
        <w:t xml:space="preserve">8.1 Each Party represents that it is authorised to sign and perform this Agreement, that doing so does not violate any law or contract binding on it, and that it will comply with applicable law in its work.</w:t>
      </w:r>
    </w:p>
    <w:p>
      <w:r>
        <w:t xml:space="preserve">8.2 The Supplier warrants that it shall perform the services with reasonable skill and care, that its original work shall not knowingly infringe third-party rights, and that it shall disclose the licence terms of any third-party asset it uses. The Supplier does not guarantee specific marketing results such as rankings, sales or follower numbers.</w:t>
      </w:r>
    </w:p>
    <w:p>
      <w:r>
        <w:t xml:space="preserve">8.3 The Customer is responsible for the accuracy and legality of the product claims and information it supplies for advertising, and the Supplier shall follow applicable advertising and consumer protection laws in the work it prepares.</w:t>
      </w:r>
    </w:p>
    <w:p>
      <w:pPr>
        <w:keepNext/>
      </w:pPr>
      <w:r>
        <w:rPr>
          <w:b/>
          <w:bCs/>
        </w:rPr>
        <w:t xml:space="preserve">9. LIABILITY AND INDEMNITY</w:t>
      </w:r>
    </w:p>
    <w:p>
      <w:r>
        <w:t xml:space="preserve">9.1 Each Party shall hold the other harmless from direct loss, damage and reasonable cost arising from its material breach, its fraud, wilful misconduct or gross negligence (or that of its personnel), or its breach of applicable law.</w:t>
      </w:r>
    </w:p>
    <w:p>
      <w:r>
        <w:t xml:space="preserve">9.2 The Supplier shall indemnify the Customer against third-party claims that the Supplier’s original work in the Final Deliverables infringes intellectual property rights. The Customer shall indemnify the Supplier against third-party claims arising from the Customer’s content and materials or the product claims in its advertising.</w:t>
      </w:r>
    </w:p>
    <w:p>
      <w:r>
        <w:t xml:space="preserve">9.3 Neither Party is liable for indirect, special, incidental or consequential damages, including lost profits, unless applicable law prevents that exclusion.</w:t>
      </w:r>
    </w:p>
    <w:p>
      <w:r>
        <w:t xml:space="preserve">9.4 Subject to Clause 9.5, each Party’s aggregate liability arising under a Project Brief shall not exceed </w:t>
      </w:r>
      <w:r>
        <w:rPr>
          <w:b/>
          <w:bCs/>
        </w:rPr>
        <w:t xml:space="preserve">100% of the total fees paid or payable under that Project Brief during the preceding twelve months</w:t>
      </w:r>
      <w:r>
        <w:t xml:space="preserve">, excluding media spend and other pass-through costs.</w:t>
      </w:r>
    </w:p>
    <w:p>
      <w:r>
        <w:t xml:space="preserve">9.5 Clause 9.4 shall not limit liability for:</w:t>
      </w:r>
    </w:p>
    <w:p>
      <w:r>
        <w:t xml:space="preserve">(a) fraud or wilful default;</w:t>
      </w:r>
    </w:p>
    <w:p>
      <w:r>
        <w:t xml:space="preserve">(b) breach of confidentiality duties;</w:t>
      </w:r>
    </w:p>
    <w:p>
      <w:r>
        <w:t xml:space="preserve">(c) violation of intellectual property rights;</w:t>
      </w:r>
    </w:p>
    <w:p>
      <w:r>
        <w:t xml:space="preserve">(d) liability that cannot be limited under applicable law; or</w:t>
      </w:r>
    </w:p>
    <w:p>
      <w:r>
        <w:t xml:space="preserve">(e) the Customer’s obligation to pay amounts properly due.</w:t>
      </w:r>
    </w:p>
    <w:p>
      <w:pPr>
        <w:keepNext/>
      </w:pPr>
      <w:r>
        <w:rPr>
          <w:b/>
          <w:bCs/>
        </w:rPr>
        <w:t xml:space="preserve">10. DELAY AND LIQUIDATED DAMAGES</w:t>
      </w:r>
    </w:p>
    <w:p>
      <w:r>
        <w:t xml:space="preserve">10.1 If the Supplier fails to deliver a deliverable by the date stated in the Project Brief (as extended) and the delay exceeds </w:t>
      </w:r>
      <w:r>
        <w:rPr>
          <w:b/>
          <w:bCs/>
        </w:rPr>
        <w:t xml:space="preserve">5 business days</w:t>
      </w:r>
      <w:r>
        <w:t xml:space="preserve">, the Supplier shall pay the Customer liquidated damages at </w:t>
      </w:r>
      <w:r>
        <w:rPr>
          <w:b/>
          <w:bCs/>
        </w:rPr>
        <w:t xml:space="preserve">0.25% of the fee for that deliverable for each day of delay</w:t>
      </w:r>
      <w:r>
        <w:t xml:space="preserve">, up to a maximum of </w:t>
      </w:r>
      <w:r>
        <w:rPr>
          <w:b/>
          <w:bCs/>
        </w:rPr>
        <w:t xml:space="preserve">5% of that fee</w:t>
      </w:r>
      <w:r>
        <w:t xml:space="preserve">.</w:t>
      </w:r>
    </w:p>
    <w:p>
      <w:r>
        <w:t xml:space="preserve">10.2 If the Customer fails to give inputs or feedback within the period in Clause 2.1 and the delay exceeds </w:t>
      </w:r>
      <w:r>
        <w:rPr>
          <w:b/>
          <w:bCs/>
        </w:rPr>
        <w:t xml:space="preserve">15 days</w:t>
      </w:r>
      <w:r>
        <w:t xml:space="preserve">, the Supplier may place the project on hold and reschedule the work, and the Customer shall pay the Supplier liquidated damages at </w:t>
      </w:r>
      <w:r>
        <w:rPr>
          <w:b/>
          <w:bCs/>
        </w:rPr>
        <w:t xml:space="preserve">0.25% of the fee for the affected deliverable for each day of delay</w:t>
      </w:r>
      <w:r>
        <w:t xml:space="preserve">, up to a maximum of </w:t>
      </w:r>
      <w:r>
        <w:rPr>
          <w:b/>
          <w:bCs/>
        </w:rPr>
        <w:t xml:space="preserve">5% of that fee</w:t>
      </w:r>
      <w:r>
        <w:t xml:space="preserve">, towards standby and rescheduling costs.</w:t>
      </w:r>
    </w:p>
    <w:p>
      <w:r>
        <w:t xml:space="preserve">10.3 These sums are a genuine pre-estimate of loss that would be hard to prove after the event. They are not a penalty, and each Party’s recovery is limited to reasonable compensation not exceeding the stated caps, in line with Section 74 of the Indian Contract Act, 1872.</w:t>
      </w:r>
    </w:p>
    <w:p>
      <w:r>
        <w:t xml:space="preserve">10.4 The amounts above are the only monetary remedy for the delay in question, leaving intact the right to terminate under Clause 12, and they do not apply where the delay is caused by force majeure or by the claiming Party.</w:t>
      </w:r>
    </w:p>
    <w:p>
      <w:pPr>
        <w:keepNext/>
      </w:pPr>
      <w:r>
        <w:rPr>
          <w:b/>
          <w:bCs/>
        </w:rPr>
        <w:t xml:space="preserve">11. CONFIDENTIALITY AND DATA</w:t>
      </w:r>
    </w:p>
    <w:p>
      <w:r>
        <w:t xml:space="preserve">11.1 Each Party shall treat the other Party’s briefs, strategies, customer lists, unreleased designs and pricing as confidential, use them only for the services, and share them only with staff and advisers who need to know and owe duties of confidence.</w:t>
      </w:r>
    </w:p>
    <w:p>
      <w:r>
        <w:t xml:space="preserve">11.2 Information is not confidential if it is already public without breach, was known to the receiver beforehand, is developed independently, or has to be disclosed under law.</w:t>
      </w:r>
    </w:p>
    <w:p>
      <w:r>
        <w:t xml:space="preserve">11.3 Where the Supplier handles personal data of the Customer’s customers, it shall do so only for the services and in compliance with the Digital Personal Data Protection Act, 2023. These obligations shall continue for </w:t>
      </w:r>
      <w:r>
        <w:rPr>
          <w:b/>
          <w:bCs/>
        </w:rPr>
        <w:t xml:space="preserve">3 years</w:t>
      </w:r>
      <w:r>
        <w:t xml:space="preserve"> after expiry or termination of this Agreement.</w:t>
      </w:r>
    </w:p>
    <w:p>
      <w:pPr>
        <w:keepNext/>
      </w:pPr>
      <w:r>
        <w:rPr>
          <w:b/>
          <w:bCs/>
        </w:rPr>
        <w:t xml:space="preserve">12. TERM AND TERMINATION</w:t>
      </w:r>
    </w:p>
    <w:p>
      <w:r>
        <w:t xml:space="preserve">12.1 This Agreement shall commence on the Effective Date and remain in force for </w:t>
      </w:r>
      <w:r>
        <w:rPr>
          <w:b/>
          <w:bCs/>
        </w:rPr>
        <w:t xml:space="preserve">12 months</w:t>
      </w:r>
      <w:r>
        <w:t xml:space="preserve">, unless extended by mutual written agreement or terminated earlier in accordance with this Clause.</w:t>
      </w:r>
    </w:p>
    <w:p>
      <w:r>
        <w:t xml:space="preserve">12.2 Either Party may terminate this Agreement or any Project Brief by giving </w:t>
      </w:r>
      <w:r>
        <w:rPr>
          <w:b/>
          <w:bCs/>
        </w:rPr>
        <w:t xml:space="preserve">30 days’</w:t>
      </w:r>
      <w:r>
        <w:t xml:space="preserve"> prior written notice to the other Party.</w:t>
      </w:r>
    </w:p>
    <w:p>
      <w:r>
        <w:t xml:space="preserve">12.3 If the other Party materially breaches this Agreement or any Project Brief and fails to remedy the breach within </w:t>
      </w:r>
      <w:r>
        <w:rPr>
          <w:b/>
          <w:bCs/>
        </w:rPr>
        <w:t xml:space="preserve">10 days</w:t>
      </w:r>
      <w:r>
        <w:t xml:space="preserve"> of written notice, becomes insolvent, or ceases business, the non-defaulting Party may terminate immediately by written notice, subject to applicable law on insolvency.</w:t>
      </w:r>
    </w:p>
    <w:p>
      <w:r>
        <w:t xml:space="preserve">12.4 Nothing in termination shall prejudice rights or obligations that had already accrued.</w:t>
      </w:r>
    </w:p>
    <w:p>
      <w:r>
        <w:t xml:space="preserve">12.5 On termination, the Customer shall pay for deliverables accepted, for work in progress in proportion to the work completed, and for approved third-party costs that cannot be cancelled. The Supplier shall refund any unused advance within </w:t>
      </w:r>
      <w:r>
        <w:rPr>
          <w:b/>
          <w:bCs/>
        </w:rPr>
        <w:t xml:space="preserve">15 days</w:t>
      </w:r>
      <w:r>
        <w:t xml:space="preserve"> and, on payment, deliver the work in progress. Intellectual property in each item shall pass under Clause 6 on payment for it.</w:t>
      </w:r>
    </w:p>
    <w:p>
      <w:r>
        <w:t xml:space="preserve">12.6 Clauses 6, 9, 11, 14 and 15 shall survive termination.</w:t>
      </w:r>
    </w:p>
    <w:p>
      <w:pPr>
        <w:keepNext/>
      </w:pPr>
      <w:r>
        <w:rPr>
          <w:b/>
          <w:bCs/>
        </w:rPr>
        <w:t xml:space="preserve">13. FORCE MAJEURE</w:t>
      </w:r>
    </w:p>
    <w:p>
      <w:r>
        <w:t xml:space="preserve">13.1 A Party shall not be in breach of this Agreement for delay or failure caused by an event beyond its reasonable control that it could not have avoided by reasonable precautions, such as natural disaster, epidemic, civil disturbance, governmental action, or failure of internet or power infrastructure (“force majeure event”). This does not excuse payment of amounts already due.</w:t>
      </w:r>
    </w:p>
    <w:p>
      <w:r>
        <w:t xml:space="preserve">13.2 The Party relying on a force majeure event shall notify the other in writing without delay and shall do what is reasonable to limit its effect.</w:t>
      </w:r>
    </w:p>
    <w:p>
      <w:r>
        <w:t xml:space="preserve">13.3 If the event prevents performance for more than </w:t>
      </w:r>
      <w:r>
        <w:rPr>
          <w:b/>
          <w:bCs/>
        </w:rPr>
        <w:t xml:space="preserve">45 days</w:t>
      </w:r>
      <w:r>
        <w:t xml:space="preserve">, either Party may end the affected Project Brief by written notice, with payment due for all work completed and approved third-party costs incurred up to that date.</w:t>
      </w:r>
    </w:p>
    <w:p>
      <w:pPr>
        <w:keepNext/>
      </w:pPr>
      <w:r>
        <w:rPr>
          <w:b/>
          <w:bCs/>
        </w:rPr>
        <w:t xml:space="preserve">14. DISPUTE RESOLUTION</w:t>
      </w:r>
    </w:p>
    <w:p>
      <w:r>
        <w:t xml:space="preserve">14.1 The Parties shall try to settle any dispute arising out of or connected with this Agreement by good-faith discussion between authorised representatives for </w:t>
      </w:r>
      <w:r>
        <w:rPr>
          <w:b/>
          <w:bCs/>
        </w:rPr>
        <w:t xml:space="preserve">15 days</w:t>
      </w:r>
      <w:r>
        <w:t xml:space="preserve">.</w:t>
      </w:r>
    </w:p>
    <w:p>
      <w:r>
        <w:t xml:space="preserve">14.2 If the dispute remains unresolved, the Parties shall attempt mediation under the Mediation Act, 2023 before a mediator they jointly choose, for up to </w:t>
      </w:r>
      <w:r>
        <w:rPr>
          <w:b/>
          <w:bCs/>
        </w:rPr>
        <w:t xml:space="preserve">30 days</w:t>
      </w:r>
      <w:r>
        <w:t xml:space="preserve">.</w:t>
      </w:r>
    </w:p>
    <w:p>
      <w:r>
        <w:t xml:space="preserve">14.3 If mediation fails, either Party may refer the dispute to arbitration in accordance with the </w:t>
      </w:r>
      <w:r>
        <w:rPr>
          <w:b/>
          <w:bCs/>
        </w:rPr>
        <w:t xml:space="preserve">Arbitration and Conciliation Act, 1996</w:t>
      </w:r>
      <w:r>
        <w:t xml:space="preserve">, before a sole arbitrator mutually appointed by the Parties or, failing agreement within </w:t>
      </w:r>
      <w:r>
        <w:rPr>
          <w:b/>
          <w:bCs/>
        </w:rPr>
        <w:t xml:space="preserve">30 days</w:t>
      </w:r>
      <w:r>
        <w:t xml:space="preserve">, appointed under Section 11 of that Act.</w:t>
      </w:r>
    </w:p>
    <w:p>
      <w:r>
        <w:t xml:space="preserve">14.4 The seat and venue of arbitration shall be </w:t>
      </w:r>
      <w:r>
        <w:rPr>
          <w:b/>
          <w:bCs/>
        </w:rPr>
        <w:t xml:space="preserve">New Delhi</w:t>
      </w:r>
      <w:r>
        <w:t xml:space="preserve">; proceedings shall be in English and confidential. Costs lie with each Party, and the arbitrator’s fees are shared equally, subject to the award.</w:t>
      </w:r>
    </w:p>
    <w:p>
      <w:r>
        <w:t xml:space="preserve">14.5 Nothing in this Clause prevents a Party from seeking interim relief from a competent court. </w:t>
      </w:r>
      <w:r>
        <w:rPr>
          <w:b/>
          <w:bCs/>
        </w:rPr>
        <w:t xml:space="preserve">The Supplier’s statutory remedies under the MSMED Act, including reference to the Micro and Small Enterprises Facilitation Council, are not restricted by this Clause.</w:t>
      </w:r>
    </w:p>
    <w:p>
      <w:pPr>
        <w:keepNext/>
      </w:pPr>
      <w:r>
        <w:rPr>
          <w:b/>
          <w:bCs/>
        </w:rPr>
        <w:t xml:space="preserve">15. GOVERNING LAW AND JURISDICTION</w:t>
      </w:r>
    </w:p>
    <w:p>
      <w:r>
        <w:t xml:space="preserve">15.1 Indian law governs the validity, interpretation and performance of this Agreement.</w:t>
      </w:r>
    </w:p>
    <w:p>
      <w:r>
        <w:t xml:space="preserve">15.2 The courts at </w:t>
      </w:r>
      <w:r>
        <w:rPr>
          <w:b/>
          <w:bCs/>
        </w:rPr>
        <w:t xml:space="preserve">New Delhi</w:t>
      </w:r>
      <w:r>
        <w:t xml:space="preserve"> shall have jurisdiction over matters arising out of this Agreement, subject to Clause 14 and applicable statutory remedies.</w:t>
      </w:r>
    </w:p>
    <w:p>
      <w:pPr>
        <w:keepNext/>
      </w:pPr>
      <w:r>
        <w:rPr>
          <w:b/>
          <w:bCs/>
        </w:rPr>
        <w:t xml:space="preserve">16. NOTICES</w:t>
      </w:r>
    </w:p>
    <w:p>
      <w:r>
        <w:t xml:space="preserve">16.1 Formal notices must be in writing, addressed to the authorised signatory of the receiving Party, and sent by hand, registered post, courier or email.</w:t>
      </w:r>
    </w:p>
    <w:p>
      <w:r>
        <w:t xml:space="preserve">16.2 Notices are deemed received on hand delivery, on the second business day after dispatch by courier, on the fourth business day after registered post, or on the next business day after email.</w:t>
      </w:r>
    </w:p>
    <w:p>
      <w:r>
        <w:t xml:space="preserve">16.3 Either Party may change its notice details by giving written notice to the other.</w:t>
      </w:r>
    </w:p>
    <w:p>
      <w:pPr>
        <w:keepNext/>
      </w:pPr>
      <w:r>
        <w:rPr>
          <w:b/>
          <w:bCs/>
        </w:rPr>
        <w:t xml:space="preserve">17. ASSIGNMENT</w:t>
      </w:r>
    </w:p>
    <w:p>
      <w:r>
        <w:t xml:space="preserve">Neither Party may transfer its rights or obligations under this Agreement without the other Party’s prior written consent, which shall not be unreasonably withheld, except to an affiliate or to a successor by merger or sale of substantially all of its business, on prior written notice and subject to applicable law.</w:t>
      </w:r>
    </w:p>
    <w:p>
      <w:pPr>
        <w:keepNext/>
      </w:pPr>
      <w:r>
        <w:rPr>
          <w:b/>
          <w:bCs/>
        </w:rPr>
        <w:t xml:space="preserve">18. AMENDMENT</w:t>
      </w:r>
    </w:p>
    <w:p>
      <w:r>
        <w:t xml:space="preserve">Any variation of this Agreement must be in writing and signed on behalf of each Party by an authorised representative.</w:t>
      </w:r>
    </w:p>
    <w:p>
      <w:pPr>
        <w:keepNext/>
      </w:pPr>
      <w:r>
        <w:rPr>
          <w:b/>
          <w:bCs/>
        </w:rPr>
        <w:t xml:space="preserve">19. ENTIRE AGREEMENT AND COUNTERPARTS</w:t>
      </w:r>
    </w:p>
    <w:p>
      <w:r>
        <w:t xml:space="preserve">19.1 This Agreement and each Project Brief record the whole agreement between the Parties on their subject matter, replacing earlier proposals, quotations and understandings.</w:t>
      </w:r>
    </w:p>
    <w:p>
      <w:r>
        <w:t xml:space="preserve">19.2 An invalid or unenforceable provision shall be severed, and the remainder of this Agreement shall continue in effect.</w:t>
      </w:r>
    </w:p>
    <w:p>
      <w:r>
        <w:t xml:space="preserve">19.3 This Agreement may be signed in counterparts and by electronic signature, each of which is an original.</w:t>
      </w:r>
    </w:p>
    <w:p>
      <w:pPr>
        <w:keepNext/>
      </w:pPr>
      <w:r>
        <w:rPr>
          <w:b/>
          <w:bCs/>
        </w:rPr>
        <w:t xml:space="preserve">SIGNATURES</w:t>
      </w:r>
    </w:p>
    <w:p>
      <w:pPr>
        <w:keepNext/>
      </w:pPr>
      <w:r>
        <w:rPr>
          <w:b/>
          <w:bCs/>
        </w:rPr>
        <w:t xml:space="preserve">For Pinkcity Creative Studio</w:t>
      </w:r>
    </w:p>
    <w:p>
      <w:r>
        <w:t xml:space="preserve">Signature: ____________________</w:t>
      </w:r>
      <w:r>
        <w:br/>
        <w:t xml:space="preserve">Name: Ritu Agarwal</w:t>
      </w:r>
      <w:r>
        <w:br/>
        <w:t xml:space="preserve">Designation: Proprietor</w:t>
      </w:r>
      <w:r>
        <w:br/>
        <w:t xml:space="preserve">Date: 7 May 2026</w:t>
      </w:r>
    </w:p>
    <w:p>
      <w:pPr>
        <w:keepNext/>
      </w:pPr>
      <w:r>
        <w:rPr>
          <w:b/>
          <w:bCs/>
        </w:rPr>
        <w:t xml:space="preserve">For Urbannest Home Furnishings Private Limited</w:t>
      </w:r>
    </w:p>
    <w:p>
      <w:r>
        <w:t xml:space="preserve">Signature: ____________________</w:t>
      </w:r>
      <w:r>
        <w:br/>
        <w:t xml:space="preserve">Name: Karan Malhotra</w:t>
      </w:r>
      <w:r>
        <w:br/>
        <w:t xml:space="preserve">Designation: Head of Marketing</w:t>
      </w:r>
      <w:r>
        <w:br/>
        <w:t xml:space="preserve">Date: 7 May 2026</w:t>
      </w:r>
    </w:p>
    <w:p>
      <w:r>
        <w:pict>
          <v:rect id="_x0000_i1045" style="width:0;height:1.5pt" o:hralign="center" o:hrstd="t" o:hr="t" fillcolor="#a0a0a0" stroked="f"/>
        </w:pict>
      </w:r>
    </w:p>
    <w:sectPr w:rsidR="00C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1C7B2F"/>
    <w:rsid w:val="003A1A17"/>
    <w:rsid w:val="007810EC"/>
    <w:rsid w:val="00C370B3"/>
    <w:rsid w:val="00FC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5CCE"/>
  <w15:chartTrackingRefBased/>
  <w15:docId w15:val="{4F48D1CB-7E9F-41A2-8709-90BA1479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MSME-BENCHMARK-5</dc:title>
  <dc:subject/>
  <dc:creator>madhura vittal</dc:creator>
  <cp:keywords/>
  <dc:description/>
  <cp:lastModifiedBy>madhura vittal</cp:lastModifiedBy>
  <cp:revision>1</cp:revision>
  <dcterms:created xsi:type="dcterms:W3CDTF">2026-08-26T17:02:00Z</dcterms:created>
  <dcterms:modified xsi:type="dcterms:W3CDTF">2026-08-26T17:04:00Z</dcterms:modified>
</cp:coreProperties>
</file>