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bCs/>
        </w:rPr>
        <w:t xml:space="preserve">MASTER SUPPLY AGREEMENT (RATE CONTRACT)</w:t>
      </w:r>
    </w:p>
    <w:p>
      <w:r>
        <w:t xml:space="preserve">This </w:t>
      </w:r>
      <w:r>
        <w:rPr>
          <w:b/>
          <w:bCs/>
        </w:rPr>
        <w:t xml:space="preserve">Master Supply Agreement</w:t>
      </w:r>
      <w:r>
        <w:t xml:space="preserve"> (“Agreement”) is entered into on this 1st day of August</w:t>
      </w:r>
      <w:r>
        <w:rPr>
          <w:b/>
          <w:bCs/>
        </w:rPr>
        <w:t xml:space="preserve">, 2026</w:t>
      </w:r>
      <w:r>
        <w:t xml:space="preserve"> (“Effective Date”)</w:t>
      </w:r>
    </w:p>
    <w:p>
      <w:r>
        <w:rPr>
          <w:b/>
          <w:bCs/>
        </w:rPr>
        <w:t xml:space="preserve">BY AND BETWEEN</w:t>
      </w:r>
    </w:p>
    <w:p>
      <w:r>
        <w:rPr>
          <w:b/>
          <w:bCs/>
        </w:rPr>
        <w:t xml:space="preserve">Narmada Corrugators Private Limited</w:t>
      </w:r>
      <w:r>
        <w:t xml:space="preserve">, a company incorporated under the Companies Act, 2013, having its registered office at </w:t>
      </w:r>
      <w:r>
        <w:rPr>
          <w:b/>
          <w:bCs/>
        </w:rPr>
        <w:t xml:space="preserve">Plot No. 88/2, GIDC Makarpura, Vadodara, Gujarat 390010</w:t>
      </w:r>
      <w:r>
        <w:t xml:space="preserve">, bearing Udyam Registration No. </w:t>
      </w:r>
      <w:r>
        <w:rPr>
          <w:b/>
          <w:bCs/>
        </w:rPr>
        <w:t xml:space="preserve">UDYAM-GJ-05-0046128</w:t>
      </w:r>
      <w:r>
        <w:t xml:space="preserve"> and GSTIN </w:t>
      </w:r>
      <w:r>
        <w:rPr>
          <w:b/>
          <w:bCs/>
        </w:rPr>
        <w:t xml:space="preserve">24AAGCN6031P1Z7</w:t>
      </w:r>
      <w:r>
        <w:t xml:space="preserve">, hereinafter referred to as the </w:t>
      </w:r>
      <w:r>
        <w:rPr>
          <w:b/>
          <w:bCs/>
        </w:rPr>
        <w:t xml:space="preserve">“Supplier”</w:t>
      </w:r>
      <w:r>
        <w:t xml:space="preserve"> (which expression shall, unless repugnant to the context, include its successors and permitted assigns);</w:t>
      </w:r>
    </w:p>
    <w:p>
      <w:r>
        <w:rPr>
          <w:b/>
          <w:bCs/>
        </w:rPr>
        <w:t xml:space="preserve">AND</w:t>
      </w:r>
    </w:p>
    <w:p>
      <w:r>
        <w:rPr>
          <w:b/>
          <w:bCs/>
        </w:rPr>
        <w:t xml:space="preserve">Freshleaf Consumer Products Limited</w:t>
      </w:r>
      <w:r>
        <w:t xml:space="preserve">, a company incorporated under the Companies Act, 2013, having its registered office at </w:t>
      </w:r>
      <w:r>
        <w:rPr>
          <w:b/>
          <w:bCs/>
        </w:rPr>
        <w:t xml:space="preserve">B-27, Sector 63, Noida, Uttar Pradesh 201301</w:t>
      </w:r>
      <w:r>
        <w:t xml:space="preserve">, bearing CIN </w:t>
      </w:r>
      <w:r>
        <w:rPr>
          <w:b/>
          <w:bCs/>
        </w:rPr>
        <w:t xml:space="preserve">U15490UP2011PLC045218</w:t>
      </w:r>
      <w:r>
        <w:t xml:space="preserve"> and GSTIN </w:t>
      </w:r>
      <w:r>
        <w:rPr>
          <w:b/>
          <w:bCs/>
        </w:rPr>
        <w:t xml:space="preserve">09AAECF5924Q1ZZ</w:t>
      </w:r>
      <w:r>
        <w:t xml:space="preserve">, hereinafter referred to as the </w:t>
      </w:r>
      <w:r>
        <w:rPr>
          <w:b/>
          <w:bCs/>
        </w:rPr>
        <w:t xml:space="preserve">“Customer”</w:t>
      </w:r>
      <w:r>
        <w:t xml:space="preserve"> (which expression shall, unless repugnant to the context, include its successors and permitted assigns).</w:t>
      </w:r>
    </w:p>
    <w:p>
      <w:r>
        <w:t xml:space="preserve">The Supplier and Customer are individually referred to as a </w:t>
      </w:r>
      <w:r>
        <w:rPr>
          <w:b/>
          <w:bCs/>
        </w:rPr>
        <w:t xml:space="preserve">“Party”</w:t>
      </w:r>
      <w:r>
        <w:t xml:space="preserve"> and collectively as the </w:t>
      </w:r>
      <w:r>
        <w:rPr>
          <w:b/>
          <w:bCs/>
        </w:rPr>
        <w:t xml:space="preserve">“Parties.”</w:t>
      </w:r>
    </w:p>
    <w:p>
      <w:pPr>
        <w:keepNext/>
      </w:pPr>
      <w:r>
        <w:rPr>
          <w:b/>
          <w:bCs/>
        </w:rPr>
        <w:t xml:space="preserve">1. SUPPLY ARRANGEMENT</w:t>
      </w:r>
    </w:p>
    <w:p>
      <w:r>
        <w:t xml:space="preserve">1.1 The Supplier shall manufacture and supply corrugated packaging materials (“Goods”) to the Customer at the rates set out in the rate schedule agreed by the Parties, in accordance with the terms of this Agreement.</w:t>
      </w:r>
    </w:p>
    <w:p>
      <w:r>
        <w:t xml:space="preserve">1.2 The specific quantity, specifications, delivery schedule and delivery location for each requirement shall be set out in purchase orders (“POs”) issued by the Customer and accepted by the Supplier.</w:t>
      </w:r>
    </w:p>
    <w:p>
      <w:r>
        <w:t xml:space="preserve">1.3 Accepted POs are part of this Agreement and, in case of conflict, this Agreement prevails unless a PO expressly states which provision of this Agreement it amends.</w:t>
      </w:r>
    </w:p>
    <w:p>
      <w:pPr>
        <w:keepNext/>
      </w:pPr>
      <w:r>
        <w:rPr>
          <w:b/>
          <w:bCs/>
        </w:rPr>
        <w:t xml:space="preserve">2. ORDERS AND FORECASTS</w:t>
      </w:r>
    </w:p>
    <w:p>
      <w:r>
        <w:t xml:space="preserve">2.1 The Supplier shall confirm acceptance of each PO, or notify its reasons for not accepting it, within </w:t>
      </w:r>
      <w:r>
        <w:rPr>
          <w:b/>
          <w:bCs/>
        </w:rPr>
        <w:t xml:space="preserve">3 business days</w:t>
      </w:r>
      <w:r>
        <w:t xml:space="preserve"> of receipt, and shall accept POs that are within the forecast volumes and lead times stated in this Clause.</w:t>
      </w:r>
    </w:p>
    <w:p>
      <w:r>
        <w:t xml:space="preserve">2.2 The Customer shall share a non-binding rolling forecast every month. The Supplier shall use reasonable efforts to supply up to </w:t>
      </w:r>
      <w:r>
        <w:rPr>
          <w:b/>
          <w:bCs/>
        </w:rPr>
        <w:t xml:space="preserve">120%</w:t>
      </w:r>
      <w:r>
        <w:t xml:space="preserve"> of forecast volumes, and the standard lead time for a PO shall be </w:t>
      </w:r>
      <w:r>
        <w:rPr>
          <w:b/>
          <w:bCs/>
        </w:rPr>
        <w:t xml:space="preserve">15 days</w:t>
      </w:r>
      <w:r>
        <w:t xml:space="preserve">.</w:t>
      </w:r>
    </w:p>
    <w:p>
      <w:r>
        <w:t xml:space="preserve">2.3 This Agreement does not oblige the Customer to purchase any minimum quantity. No modification or cancellation of an accepted PO shall be valid unless mutually agreed in writing by the Parties.</w:t>
      </w:r>
    </w:p>
    <w:p>
      <w:pPr>
        <w:keepNext/>
      </w:pPr>
      <w:r>
        <w:rPr>
          <w:b/>
          <w:bCs/>
        </w:rPr>
        <w:t xml:space="preserve">3. PRICING AND PRICE REVIEW</w:t>
      </w:r>
    </w:p>
    <w:p>
      <w:r>
        <w:t xml:space="preserve">3.1 The prices shall be as set out in the rate schedule and shall remain fixed for </w:t>
      </w:r>
      <w:r>
        <w:rPr>
          <w:b/>
          <w:bCs/>
        </w:rPr>
        <w:t xml:space="preserve">12 months</w:t>
      </w:r>
      <w:r>
        <w:t xml:space="preserve"> from the Effective Date.</w:t>
      </w:r>
    </w:p>
    <w:p>
      <w:r>
        <w:t xml:space="preserve">3.2 Either Party may request a price review once each year, on </w:t>
      </w:r>
      <w:r>
        <w:rPr>
          <w:b/>
          <w:bCs/>
        </w:rPr>
        <w:t xml:space="preserve">30 days’</w:t>
      </w:r>
      <w:r>
        <w:t xml:space="preserve"> written notice, supported by documented changes in input costs. A revised price shall apply only if agreed in writing, and accepted POs shall continue at the price in force when they were accepted.</w:t>
      </w:r>
    </w:p>
    <w:p>
      <w:r>
        <w:t xml:space="preserve">3.3 Unless expressly stated otherwise, prices are exclusive of applicable GST and other statutory taxes. The Supplier shall issue valid tax invoices, and any change in applicable taxes after the Effective Date shall be borne by the Party legally liable for it.</w:t>
      </w:r>
    </w:p>
    <w:p>
      <w:pPr>
        <w:keepNext/>
      </w:pPr>
      <w:r>
        <w:rPr>
          <w:b/>
          <w:bCs/>
        </w:rPr>
        <w:t xml:space="preserve">4. DELIVERY</w:t>
      </w:r>
    </w:p>
    <w:p>
      <w:r>
        <w:t xml:space="preserve">4.1 The Supplier shall deliver the Goods to the location and by the date specified in the PO and shall promptly notify the Customer of any anticipated delay.</w:t>
      </w:r>
    </w:p>
    <w:p>
      <w:r>
        <w:t xml:space="preserve">4.2 Where delivery is delayed due to a force majeure event under Clause 15, or due to an act or omission of the Customer (including late artwork approval or refusal of an agreed delivery slot), the delivery date shall be extended by the period of delay so caused.</w:t>
      </w:r>
    </w:p>
    <w:p>
      <w:r>
        <w:t xml:space="preserve">4.3 Risk in and title to the Goods shall pass to the Customer on delivery at the location stated in the PO.</w:t>
      </w:r>
    </w:p>
    <w:p>
      <w:pPr>
        <w:keepNext/>
      </w:pPr>
      <w:r>
        <w:rPr>
          <w:b/>
          <w:bCs/>
        </w:rPr>
        <w:t xml:space="preserve">5. QUALITY, INSPECTION AND REJECTION</w:t>
      </w:r>
    </w:p>
    <w:p>
      <w:r>
        <w:t xml:space="preserve">5.1 The Goods shall conform to the specifications agreed between the Parties and be free from defects in materials and workmanship.</w:t>
      </w:r>
    </w:p>
    <w:p>
      <w:r>
        <w:t xml:space="preserve">5.2 The Customer shall inspect each consignment within </w:t>
      </w:r>
      <w:r>
        <w:rPr>
          <w:b/>
          <w:bCs/>
        </w:rPr>
        <w:t xml:space="preserve">7 days</w:t>
      </w:r>
      <w:r>
        <w:t xml:space="preserve"> of delivery using the sampling plan agreed in the specifications (AQL 1.5 if none is agreed) and notify the Supplier in writing of any non-conformity. A consignment not so rejected shall be deemed accepted, without prejudice to latent defects.</w:t>
      </w:r>
    </w:p>
    <w:p>
      <w:r>
        <w:t xml:space="preserve">5.3 The Supplier shall replace rejected Goods within </w:t>
      </w:r>
      <w:r>
        <w:rPr>
          <w:b/>
          <w:bCs/>
        </w:rPr>
        <w:t xml:space="preserve">7 days</w:t>
      </w:r>
      <w:r>
        <w:t xml:space="preserve"> of notice, or at the Customer’s option credit or refund their price, and shall collect the rejected Goods at its own cost.</w:t>
      </w:r>
    </w:p>
    <w:p>
      <w:pPr>
        <w:keepNext/>
      </w:pPr>
      <w:r>
        <w:rPr>
          <w:b/>
          <w:bCs/>
        </w:rPr>
        <w:t xml:space="preserve">6. DELAY AND LIQUIDATED DAMAGES</w:t>
      </w:r>
    </w:p>
    <w:p>
      <w:r>
        <w:t xml:space="preserve">6.1 If the Supplier fails to deliver Goods by the delivery date stated in the accepted PO (as extended under Clause 4.2) and the delay exceeds a grace period of </w:t>
      </w:r>
      <w:r>
        <w:rPr>
          <w:b/>
          <w:bCs/>
        </w:rPr>
        <w:t xml:space="preserve">3 days</w:t>
      </w:r>
      <w:r>
        <w:t xml:space="preserve">, the Supplier shall pay the Customer liquidated damages at </w:t>
      </w:r>
      <w:r>
        <w:rPr>
          <w:b/>
          <w:bCs/>
        </w:rPr>
        <w:t xml:space="preserve">1% of the price of the delayed Goods for each week of delay</w:t>
      </w:r>
      <w:r>
        <w:t xml:space="preserve"> (part weeks pro rata), up to a maximum of </w:t>
      </w:r>
      <w:r>
        <w:rPr>
          <w:b/>
          <w:bCs/>
        </w:rPr>
        <w:t xml:space="preserve">6% of the price of the delayed Goods</w:t>
      </w:r>
      <w:r>
        <w:t xml:space="preserve">.</w:t>
      </w:r>
    </w:p>
    <w:p>
      <w:r>
        <w:t xml:space="preserve">6.2 If the Customer, without valid reason, fails to receive Goods within the agreed delivery slot, or fails to approve artwork by the agreed date, and the delay exceeds </w:t>
      </w:r>
      <w:r>
        <w:rPr>
          <w:b/>
          <w:bCs/>
        </w:rPr>
        <w:t xml:space="preserve">3 days</w:t>
      </w:r>
      <w:r>
        <w:t xml:space="preserve">, the Customer shall pay the Supplier liquidated damages at </w:t>
      </w:r>
      <w:r>
        <w:rPr>
          <w:b/>
          <w:bCs/>
        </w:rPr>
        <w:t xml:space="preserve">1% of the price of the affected Goods for each week of delay</w:t>
      </w:r>
      <w:r>
        <w:t xml:space="preserve"> (part weeks pro rata), up to a maximum of </w:t>
      </w:r>
      <w:r>
        <w:rPr>
          <w:b/>
          <w:bCs/>
        </w:rPr>
        <w:t xml:space="preserve">6% of that price</w:t>
      </w:r>
      <w:r>
        <w:t xml:space="preserve">, towards storage and rescheduling costs.</w:t>
      </w:r>
    </w:p>
    <w:p>
      <w:r>
        <w:t xml:space="preserve">6.3 The Parties agree that the losses flowing from delay are difficult to quantify, that the stated amounts are a genuine pre-estimate of them and not a penalty, and that reasonable compensation up to those amounts is the limit of recovery, in accordance with Section 74 of the Indian Contract Act, 1872.</w:t>
      </w:r>
    </w:p>
    <w:p>
      <w:r>
        <w:t xml:space="preserve">6.4 This Clause provides the exclusive monetary remedy for delay without limiting termination rights under Clause 14, and no damages are due to the extent the delay arises from force majeure or the claiming Party’s own default.</w:t>
      </w:r>
    </w:p>
    <w:p>
      <w:pPr>
        <w:keepNext/>
      </w:pPr>
      <w:r>
        <w:rPr>
          <w:b/>
          <w:bCs/>
        </w:rPr>
        <w:t xml:space="preserve">7. PAYMENT TERMS AND LATE PAYMENT INTEREST</w:t>
      </w:r>
    </w:p>
    <w:p>
      <w:r>
        <w:t xml:space="preserve">7.1 The Customer shall pay all undisputed invoices raised by the Supplier within </w:t>
      </w:r>
      <w:r>
        <w:rPr>
          <w:b/>
          <w:bCs/>
        </w:rPr>
        <w:t xml:space="preserve">45 days</w:t>
      </w:r>
      <w:r>
        <w:t xml:space="preserve"> from the date of acceptance (or deemed acceptance) of the Goods, subject to receipt of a valid tax invoice.</w:t>
      </w:r>
    </w:p>
    <w:p>
      <w:r>
        <w:t xml:space="preserve">7.2 The Customer shall pay the undisputed balance of an invoice by the due date, even where another part of it has been contested. The Customer shall notify any invoice dispute in writing within </w:t>
      </w:r>
      <w:r>
        <w:rPr>
          <w:b/>
          <w:bCs/>
        </w:rPr>
        <w:t xml:space="preserve">10 business days</w:t>
      </w:r>
      <w:r>
        <w:t xml:space="preserve"> of receiving the invoice, stating its grounds. The Parties shall endeavour to settle it promptly and in good faith.</w:t>
      </w:r>
    </w:p>
    <w:p>
      <w:r>
        <w:t xml:space="preserve">7.3 Any undisputed amount not paid when due shall carry simple interest at </w:t>
      </w:r>
      <w:r>
        <w:rPr>
          <w:b/>
          <w:bCs/>
        </w:rPr>
        <w:t xml:space="preserve">1% per month</w:t>
      </w:r>
      <w:r>
        <w:t xml:space="preserve">, calculated daily from the due date until payment. The same rate shall apply to any amount the Supplier owes the Customer under this Agreement and fails to pay or credit within </w:t>
      </w:r>
      <w:r>
        <w:rPr>
          <w:b/>
          <w:bCs/>
        </w:rPr>
        <w:t xml:space="preserve">30 days</w:t>
      </w:r>
      <w:r>
        <w:t xml:space="preserve"> of the due date.</w:t>
      </w:r>
    </w:p>
    <w:p>
      <w:r>
        <w:t xml:space="preserve">7.4 Neither Party shall set off any amount against sums due to the other Party, except amounts that are undisputed or finally determined as due under this Agreement, and then only after prior written notice.</w:t>
      </w:r>
    </w:p>
    <w:p>
      <w:pPr>
        <w:keepNext/>
      </w:pPr>
      <w:r>
        <w:rPr>
          <w:b/>
          <w:bCs/>
        </w:rPr>
        <w:t xml:space="preserve">8. STATUS OF THE SUPPLIER</w:t>
      </w:r>
    </w:p>
    <w:p>
      <w:r>
        <w:t xml:space="preserve">8.1 The Supplier represents that, as of the Effective Date, it is registered as a </w:t>
      </w:r>
      <w:r>
        <w:rPr>
          <w:b/>
          <w:bCs/>
        </w:rPr>
        <w:t xml:space="preserve">medium enterprise</w:t>
      </w:r>
      <w:r>
        <w:t xml:space="preserve"> under applicable law and holds a valid Udyam Registration Certificate, a copy of which it shall provide on request.</w:t>
      </w:r>
    </w:p>
    <w:p>
      <w:r>
        <w:t xml:space="preserve">8.2 The Supplier shall promptly notify the Customer in writing if its classification or registration status changes. Where the Supplier becomes a micro or small enterprise under the Micro, Small and Medium Enterprises Development Act, 2006 (“MSMED Act”), the payment period and interest provisions of that Act shall apply to it from the date of the change, to the extent mandated by law.</w:t>
      </w:r>
    </w:p>
    <w:p>
      <w:r>
        <w:t xml:space="preserve">8.3 Nothing in this Agreement shall be construed as a waiver of any statutory right available to either Party under applicable law.</w:t>
      </w:r>
    </w:p>
    <w:p>
      <w:pPr>
        <w:keepNext/>
      </w:pPr>
      <w:r>
        <w:rPr>
          <w:b/>
          <w:bCs/>
        </w:rPr>
        <w:t xml:space="preserve">9. TOOLING AND INTELLECTUAL PROPERTY</w:t>
      </w:r>
    </w:p>
    <w:p>
      <w:r>
        <w:t xml:space="preserve">9.1 Neither Party acquires any right in the other’s pre-existing intellectual property, and each keeps what it owned before the Effective Date.</w:t>
      </w:r>
    </w:p>
    <w:p>
      <w:r>
        <w:t xml:space="preserve">9.2 The Customer retains all rights in its artwork, brand names, logos and packaging specifications. Printing plates, cutting dies and cylinders paid for by the Customer (“Tooling”) belong to the Customer. The Supplier shall keep the Tooling in safe custody, use it only for the Customer’s POs, and return it within </w:t>
      </w:r>
      <w:r>
        <w:rPr>
          <w:b/>
          <w:bCs/>
        </w:rPr>
        <w:t xml:space="preserve">15 days</w:t>
      </w:r>
      <w:r>
        <w:t xml:space="preserve"> of written request, subject to payment of amounts due for Goods already made with it.</w:t>
      </w:r>
    </w:p>
    <w:p>
      <w:r>
        <w:t xml:space="preserve">9.3 The Supplier retains ownership of its standard box designs, manufacturing processes and know-how. Structural designs created specifically for the Customer’s products and paid for by the Customer shall be owned by the Customer, excluding the Supplier’s pre-existing know-how, which the Supplier grants the Customer a non-exclusive, perpetual, royalty-free licence to use as part of those designs.</w:t>
      </w:r>
    </w:p>
    <w:p>
      <w:r>
        <w:t xml:space="preserve">9.4 Each Party shall use the other Party’s name and marks only with prior written consent.</w:t>
      </w:r>
    </w:p>
    <w:p>
      <w:pPr>
        <w:keepNext/>
      </w:pPr>
      <w:r>
        <w:rPr>
          <w:b/>
          <w:bCs/>
        </w:rPr>
        <w:t xml:space="preserve">10. CONFIDENTIALITY</w:t>
      </w:r>
    </w:p>
    <w:p>
      <w:r>
        <w:t xml:space="preserve">10.1 Each Party shall protect the other Party’s confidential information, including artwork, product volumes, pricing and specifications, with at least the care it gives its own.</w:t>
      </w:r>
    </w:p>
    <w:p>
      <w:r>
        <w:t xml:space="preserve">10.2 Confidential information may be used only to perform this Agreement and disclosed only to employees, advisers and contractors who need it and are bound by written or professional duties of confidentiality.</w:t>
      </w:r>
    </w:p>
    <w:p>
      <w:r>
        <w:t xml:space="preserve">(a) Information that is public other than through breach of this Agreement,</w:t>
      </w:r>
    </w:p>
    <w:p>
      <w:r>
        <w:t xml:space="preserve">(b) information the receiver lawfully knew before disclosure,</w:t>
      </w:r>
    </w:p>
    <w:p>
      <w:r>
        <w:t xml:space="preserve">(c) information the receiver develops independently, and</w:t>
      </w:r>
    </w:p>
    <w:p>
      <w:r>
        <w:t xml:space="preserve">(d) information a law, court or authority requires to be disclosed (with prompt notice to the other Party where permitted)</w:t>
      </w:r>
    </w:p>
    <w:p>
      <w:r>
        <w:t xml:space="preserve">is not treated as confidential information.</w:t>
      </w:r>
    </w:p>
    <w:p>
      <w:r>
        <w:t xml:space="preserve">10.3 These obligations survive for </w:t>
      </w:r>
      <w:r>
        <w:rPr>
          <w:b/>
          <w:bCs/>
        </w:rPr>
        <w:t xml:space="preserve">5 years</w:t>
      </w:r>
      <w:r>
        <w:t xml:space="preserve"> after expiry or termination.</w:t>
      </w:r>
    </w:p>
    <w:p>
      <w:pPr>
        <w:keepNext/>
      </w:pPr>
      <w:r>
        <w:rPr>
          <w:b/>
          <w:bCs/>
        </w:rPr>
        <w:t xml:space="preserve">11. REPRESENTATIONS AND WARRANTIES</w:t>
      </w:r>
    </w:p>
    <w:p>
      <w:r>
        <w:t xml:space="preserve">Each Party represents and warrants that:</w:t>
      </w:r>
    </w:p>
    <w:p>
      <w:r>
        <w:t xml:space="preserve">(a) it is validly organised and has the power and authority to enter into and perform this Agreement;</w:t>
      </w:r>
    </w:p>
    <w:p>
      <w:r>
        <w:t xml:space="preserve">(b) signing and performing this Agreement does not conflict with any law or agreement binding on it;</w:t>
      </w:r>
    </w:p>
    <w:p>
      <w:r>
        <w:t xml:space="preserve">(c) it shall comply with applicable laws in performing this Agreement; and</w:t>
      </w:r>
    </w:p>
    <w:p>
      <w:r>
        <w:t xml:space="preserve">(d) it holds and shall maintain the licences and registrations needed for its performance, including, for the Supplier, those relating to its manufacturing operations.</w:t>
      </w:r>
    </w:p>
    <w:p>
      <w:pPr>
        <w:keepNext/>
      </w:pPr>
      <w:r>
        <w:rPr>
          <w:b/>
          <w:bCs/>
        </w:rPr>
        <w:t xml:space="preserve">12. INDEMNITY</w:t>
      </w:r>
    </w:p>
    <w:p>
      <w:r>
        <w:t xml:space="preserve">12.1 Each Party shall make good the other Party’s direct losses and reasonable costs to the extent they result from its material breach of this Agreement, its or its personnel’s fraud, wilful misconduct or gross negligence, or its breach of applicable law.</w:t>
      </w:r>
    </w:p>
    <w:p>
      <w:r>
        <w:t xml:space="preserve">12.2 The Customer shall indemnify the Supplier against third-party claims that the Customer’s artwork or specifications infringe intellectual property rights. The Supplier shall indemnify the Customer against third-party claims that the Supplier’s standard designs or processes infringe intellectual property rights. The indemnifying Party’s obligations depend on prompt written notice, control of the defence, and reasonable cooperation.</w:t>
      </w:r>
    </w:p>
    <w:p>
      <w:r>
        <w:t xml:space="preserve">12.3 Neither Party shall be liable to the other for indirect, incidental, special or consequential losses, including loss of business opportunities or profits, unless the exclusion is barred by law.</w:t>
      </w:r>
    </w:p>
    <w:p>
      <w:pPr>
        <w:keepNext/>
      </w:pPr>
      <w:r>
        <w:rPr>
          <w:b/>
          <w:bCs/>
        </w:rPr>
        <w:t xml:space="preserve">13. LIMITATION OF LIABILITY</w:t>
      </w:r>
    </w:p>
    <w:p>
      <w:r>
        <w:t xml:space="preserve">13.1 Subject to Clause 13.2, the aggregate liability of each Party arising out of this Agreement in any contract year shall not exceed the </w:t>
      </w:r>
      <w:r>
        <w:rPr>
          <w:b/>
          <w:bCs/>
        </w:rPr>
        <w:t xml:space="preserve">greater of ₹ 25,00,000 and 100% of the total amounts paid or payable under this Agreement during the preceding twelve months</w:t>
      </w:r>
      <w:r>
        <w:t xml:space="preserve">.</w:t>
      </w:r>
    </w:p>
    <w:p>
      <w:r>
        <w:t xml:space="preserve">13.2 The limitation under Clause 13.1 is inapplicable to:</w:t>
      </w:r>
    </w:p>
    <w:p>
      <w:r>
        <w:t xml:space="preserve">(a) fraud or intentional misconduct;</w:t>
      </w:r>
    </w:p>
    <w:p>
      <w:r>
        <w:t xml:space="preserve">(b) unauthorised disclosure of confidential information;</w:t>
      </w:r>
    </w:p>
    <w:p>
      <w:r>
        <w:t xml:space="preserve">(c) misappropriation or infringement of intellectual property rights;</w:t>
      </w:r>
    </w:p>
    <w:p>
      <w:r>
        <w:t xml:space="preserve">(d) death or personal injury arising from negligence;</w:t>
      </w:r>
    </w:p>
    <w:p>
      <w:r>
        <w:t xml:space="preserve">(e) liabilities which by law cannot be limited; or</w:t>
      </w:r>
    </w:p>
    <w:p>
      <w:r>
        <w:t xml:space="preserve">(f) the Customer’s obligation to pay undisputed sums.</w:t>
      </w:r>
    </w:p>
    <w:p>
      <w:r>
        <w:t xml:space="preserve">13.3 Liquidated damages paid or payable under Clause 6 shall count towards the limit in Clause 13.1.</w:t>
      </w:r>
    </w:p>
    <w:p>
      <w:pPr>
        <w:keepNext/>
      </w:pPr>
      <w:r>
        <w:rPr>
          <w:b/>
          <w:bCs/>
        </w:rPr>
        <w:t xml:space="preserve">14. TERM AND TERMINATION</w:t>
      </w:r>
    </w:p>
    <w:p>
      <w:r>
        <w:t xml:space="preserve">14.1 This Agreement shall commence on the Effective Date and remain in force for </w:t>
      </w:r>
      <w:r>
        <w:rPr>
          <w:b/>
          <w:bCs/>
        </w:rPr>
        <w:t xml:space="preserve">5 years</w:t>
      </w:r>
      <w:r>
        <w:t xml:space="preserve">, unless extended by mutual written agreement or terminated earlier in accordance with this Clause.</w:t>
      </w:r>
    </w:p>
    <w:p>
      <w:r>
        <w:t xml:space="preserve">14.2 Either Party may terminate this Agreement by giving </w:t>
      </w:r>
      <w:r>
        <w:rPr>
          <w:b/>
          <w:bCs/>
        </w:rPr>
        <w:t xml:space="preserve">90 days’</w:t>
      </w:r>
      <w:r>
        <w:t xml:space="preserve"> prior written notice to the other Party.</w:t>
      </w:r>
    </w:p>
    <w:p>
      <w:r>
        <w:t xml:space="preserve">14.3 Either Party may terminate immediately on written notice if the other Party:</w:t>
      </w:r>
    </w:p>
    <w:p>
      <w:r>
        <w:t xml:space="preserve">(a) is in material breach and does not remedy it within </w:t>
      </w:r>
      <w:r>
        <w:rPr>
          <w:b/>
          <w:bCs/>
        </w:rPr>
        <w:t xml:space="preserve">30 days</w:t>
      </w:r>
      <w:r>
        <w:t xml:space="preserve"> of written notice;</w:t>
      </w:r>
    </w:p>
    <w:p>
      <w:r>
        <w:t xml:space="preserve">(b) becomes insolvent or goes into liquidation, subject to applicable law; or</w:t>
      </w:r>
    </w:p>
    <w:p>
      <w:r>
        <w:t xml:space="preserve">(c) ceases to carry on business.</w:t>
      </w:r>
    </w:p>
    <w:p>
      <w:r>
        <w:t xml:space="preserve">14.4 Termination shall be without prejudice to rights and obligations accrued up to its effective date. All undisputed amounts due to the Supplier for Goods supplied before termination shall remain payable.</w:t>
      </w:r>
    </w:p>
    <w:p>
      <w:r>
        <w:t xml:space="preserve">14.5 POs accepted before a notice under Clause 14.2 shall be completed under this Agreement. If the Customer cancels an accepted PO, it shall pay for finished Goods and work in progress in proportion to the work completed, and for the documented cost of raw material bought specifically for that PO that cannot reasonably be used elsewhere.</w:t>
      </w:r>
    </w:p>
    <w:p>
      <w:r>
        <w:t xml:space="preserve">14.6 On expiry or termination, the Supplier shall return the Tooling and the Customer’s artwork, and Clauses 9, 10, 12, 13, 16 and 17 shall survive.</w:t>
      </w:r>
    </w:p>
    <w:p>
      <w:pPr>
        <w:keepNext/>
      </w:pPr>
      <w:r>
        <w:rPr>
          <w:b/>
          <w:bCs/>
        </w:rPr>
        <w:t xml:space="preserve">15. FORCE MAJEURE</w:t>
      </w:r>
    </w:p>
    <w:p>
      <w:r>
        <w:t xml:space="preserve">15.1 A Party shall not be liable for a delay in or failure of performance to the extent caused by circumstances beyond its reasonable control, including natural disaster, epidemic, war, terrorism, fire, flood, government order, or widespread failure of power or transport (“force majeure event”). It does not extend to sums already payable, or to strikes limited to a Party’s own workforce.</w:t>
      </w:r>
    </w:p>
    <w:p>
      <w:r>
        <w:t xml:space="preserve">15.2 The affected Party shall give prompt written notice of the event and its likely duration, and shall take reasonable steps to mitigate its effect.</w:t>
      </w:r>
    </w:p>
    <w:p>
      <w:r>
        <w:t xml:space="preserve">15.3 If the event continues for more than </w:t>
      </w:r>
      <w:r>
        <w:rPr>
          <w:b/>
          <w:bCs/>
        </w:rPr>
        <w:t xml:space="preserve">45 days</w:t>
      </w:r>
      <w:r>
        <w:t xml:space="preserve">, either Party may terminate the affected PO by written notice, without liability beyond payment for Goods delivered and work performed up to the date of termination.</w:t>
      </w:r>
    </w:p>
    <w:p>
      <w:pPr>
        <w:keepNext/>
      </w:pPr>
      <w:r>
        <w:rPr>
          <w:b/>
          <w:bCs/>
        </w:rPr>
        <w:t xml:space="preserve">16. DISPUTE RESOLUTION</w:t>
      </w:r>
    </w:p>
    <w:p>
      <w:r>
        <w:t xml:space="preserve">16.1 Any dispute arising out of or relating to this Agreement shall initially be addressed through good-faith negotiation between authorised representatives of the Parties.</w:t>
      </w:r>
    </w:p>
    <w:p>
      <w:r>
        <w:t xml:space="preserve">16.2 If the dispute remains unresolved for a period of </w:t>
      </w:r>
      <w:r>
        <w:rPr>
          <w:b/>
          <w:bCs/>
        </w:rPr>
        <w:t xml:space="preserve">30 days</w:t>
      </w:r>
      <w:r>
        <w:t xml:space="preserve">, either Party may refer the dispute to arbitration under the </w:t>
      </w:r>
      <w:r>
        <w:rPr>
          <w:b/>
          <w:bCs/>
        </w:rPr>
        <w:t xml:space="preserve">Arbitration and Conciliation Act, 1996</w:t>
      </w:r>
      <w:r>
        <w:t xml:space="preserve">, administered by the Mumbai Centre for International Arbitration in accordance with its rules in force at the time of the reference.</w:t>
      </w:r>
    </w:p>
    <w:p>
      <w:r>
        <w:t xml:space="preserve">16.3 The arbitration shall be conducted by a sole arbitrator appointed in accordance with those rules, unless the Parties agree on an arbitrator within </w:t>
      </w:r>
      <w:r>
        <w:rPr>
          <w:b/>
          <w:bCs/>
        </w:rPr>
        <w:t xml:space="preserve">15 days</w:t>
      </w:r>
      <w:r>
        <w:t xml:space="preserve"> of the notice of arbitration.</w:t>
      </w:r>
    </w:p>
    <w:p>
      <w:r>
        <w:t xml:space="preserve">16.4 The seat and venue of arbitration shall be </w:t>
      </w:r>
      <w:r>
        <w:rPr>
          <w:b/>
          <w:bCs/>
        </w:rPr>
        <w:t xml:space="preserve">Mumbai, Maharashtra</w:t>
      </w:r>
      <w:r>
        <w:t xml:space="preserve">, and the language of arbitration shall be English. Each Party shall bear its own costs and half the arbitrator’s fees, subject to the award.</w:t>
      </w:r>
    </w:p>
    <w:p>
      <w:r>
        <w:t xml:space="preserve">16.5 Performance of undisputed obligations shall continue during a dispute, and either Party may seek urgent interim relief from a competent court.</w:t>
      </w:r>
    </w:p>
    <w:p>
      <w:r>
        <w:t xml:space="preserve">16.6 </w:t>
      </w:r>
      <w:r>
        <w:rPr>
          <w:b/>
          <w:bCs/>
        </w:rPr>
        <w:t xml:space="preserve">Nothing in this Clause shall prevent the Supplier, if it qualifies as a micro or small enterprise under the MSMED Act, from exercising any statutory remedy available under that Act, including reference to the appropriate Micro and Small Enterprises Facilitation Council.</w:t>
      </w:r>
    </w:p>
    <w:p>
      <w:pPr>
        <w:keepNext/>
      </w:pPr>
      <w:r>
        <w:rPr>
          <w:b/>
          <w:bCs/>
        </w:rPr>
        <w:t xml:space="preserve">17. GOVERNING LAW AND JURISDICTION</w:t>
      </w:r>
    </w:p>
    <w:p>
      <w:r>
        <w:t xml:space="preserve">17.1 This Agreement and any dispute arising from it are governed by the laws of India.</w:t>
      </w:r>
    </w:p>
    <w:p>
      <w:r>
        <w:t xml:space="preserve">17.2 Subject to Clause 16 and applicable statutory remedies, the courts at </w:t>
      </w:r>
      <w:r>
        <w:rPr>
          <w:b/>
          <w:bCs/>
        </w:rPr>
        <w:t xml:space="preserve">Mumbai, Maharashtra</w:t>
      </w:r>
      <w:r>
        <w:t xml:space="preserve"> shall have jurisdiction over disputes arising out of this Agreement.</w:t>
      </w:r>
    </w:p>
    <w:p>
      <w:pPr>
        <w:keepNext/>
      </w:pPr>
      <w:r>
        <w:rPr>
          <w:b/>
          <w:bCs/>
        </w:rPr>
        <w:t xml:space="preserve">18. RELATIONSHIP OF THE PARTIES</w:t>
      </w:r>
    </w:p>
    <w:p>
      <w:r>
        <w:t xml:space="preserve">18.1 The Parties are independent contractors. Nothing in this Agreement creates a partnership, joint venture, agency or employment relationship between them.</w:t>
      </w:r>
    </w:p>
    <w:p>
      <w:r>
        <w:t xml:space="preserve">18.2 This Agreement is not exclusive, and either Party may deal with other suppliers or customers, subject to Clause 10.</w:t>
      </w:r>
    </w:p>
    <w:p>
      <w:pPr>
        <w:keepNext/>
      </w:pPr>
      <w:r>
        <w:rPr>
          <w:b/>
          <w:bCs/>
        </w:rPr>
        <w:t xml:space="preserve">19. NOTICES</w:t>
      </w:r>
    </w:p>
    <w:p>
      <w:r>
        <w:t xml:space="preserve">19.1 Notices shall be in writing and sent to the addresses set out in this Agreement, as updated by written notice, by hand, registered post, recognised courier or email.</w:t>
      </w:r>
    </w:p>
    <w:p>
      <w:r>
        <w:t xml:space="preserve">19.2 A notice is deemed received on the day of hand or courier delivery, on the third business day after registered post, or on the next business day after email transmission.</w:t>
      </w:r>
    </w:p>
    <w:p>
      <w:r>
        <w:t xml:space="preserve">19.3 Each Party shall promptly notify any change of its notice address.</w:t>
      </w:r>
    </w:p>
    <w:p>
      <w:pPr>
        <w:keepNext/>
      </w:pPr>
      <w:r>
        <w:rPr>
          <w:b/>
          <w:bCs/>
        </w:rPr>
        <w:t xml:space="preserve">20. ASSIGNMENT</w:t>
      </w:r>
    </w:p>
    <w:p>
      <w:r>
        <w:t xml:space="preserve">Neither Party shall assign or transfer this Agreement, in whole or in part, without the other’s prior written consent, except to an affiliate or a successor in a merger or business transfer, with prior written notice.</w:t>
      </w:r>
    </w:p>
    <w:p>
      <w:pPr>
        <w:keepNext/>
      </w:pPr>
      <w:r>
        <w:rPr>
          <w:b/>
          <w:bCs/>
        </w:rPr>
        <w:t xml:space="preserve">21. AMENDMENT</w:t>
      </w:r>
    </w:p>
    <w:p>
      <w:r>
        <w:t xml:space="preserve">No amendment or waiver of any term of this Agreement is valid unless it is in writing and signed by both Parties.</w:t>
      </w:r>
    </w:p>
    <w:p>
      <w:pPr>
        <w:keepNext/>
      </w:pPr>
      <w:r>
        <w:rPr>
          <w:b/>
          <w:bCs/>
        </w:rPr>
        <w:t xml:space="preserve">SIGNATURES</w:t>
      </w:r>
    </w:p>
    <w:p>
      <w:pPr>
        <w:keepNext/>
      </w:pPr>
      <w:r>
        <w:rPr>
          <w:b/>
          <w:bCs/>
        </w:rPr>
        <w:t xml:space="preserve">For Narmada Corrugators Private Limited</w:t>
      </w:r>
    </w:p>
    <w:p>
      <w:r>
        <w:t xml:space="preserve">Signature: ____________________</w:t>
      </w:r>
      <w:r>
        <w:br/>
        <w:t xml:space="preserve">Name: Dhruv Patel</w:t>
      </w:r>
      <w:r>
        <w:br/>
        <w:t xml:space="preserve">Designation: Managing Director</w:t>
      </w:r>
      <w:r>
        <w:br/>
        <w:t xml:space="preserve">Date: 1 August 2026</w:t>
      </w:r>
    </w:p>
    <w:p>
      <w:pPr>
        <w:keepNext/>
      </w:pPr>
      <w:r>
        <w:rPr>
          <w:b/>
          <w:bCs/>
        </w:rPr>
        <w:t xml:space="preserve">For Freshleaf Consumer Products Limited</w:t>
      </w:r>
    </w:p>
    <w:p>
      <w:r>
        <w:t xml:space="preserve">Signature: ____________________</w:t>
      </w:r>
      <w:r>
        <w:br/>
        <w:t xml:space="preserve">Name: Sonal Kapoor</w:t>
      </w:r>
      <w:r>
        <w:br/>
        <w:t xml:space="preserve">Designation: General Manager, Procurement</w:t>
      </w:r>
      <w:r>
        <w:br/>
        <w:t xml:space="preserve">Date: 1 August 2026</w:t>
      </w:r>
    </w:p>
    <w:p>
      <w:r>
        <w:pict>
          <v:rect id="_x0000_i1045" style="width:0;height:1.5pt" o:hralign="center" o:hrstd="t" o:hr="t" fillcolor="#a0a0a0" stroked="f"/>
        </w:pict>
      </w:r>
    </w:p>
    <w:sectPr w:rsidR="00C37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2F"/>
    <w:rsid w:val="001C7B2F"/>
    <w:rsid w:val="003A1A17"/>
    <w:rsid w:val="007810EC"/>
    <w:rsid w:val="00C370B3"/>
    <w:rsid w:val="00FC6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05CCE"/>
  <w15:chartTrackingRefBased/>
  <w15:docId w15:val="{4F48D1CB-7E9F-41A2-8709-90BA1479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B2F"/>
    <w:rPr>
      <w:rFonts w:eastAsiaTheme="majorEastAsia" w:cstheme="majorBidi"/>
      <w:color w:val="272727" w:themeColor="text1" w:themeTint="D8"/>
    </w:rPr>
  </w:style>
  <w:style w:type="paragraph" w:styleId="Title">
    <w:name w:val="Title"/>
    <w:basedOn w:val="Normal"/>
    <w:next w:val="Normal"/>
    <w:link w:val="TitleChar"/>
    <w:uiPriority w:val="10"/>
    <w:qFormat/>
    <w:rsid w:val="001C7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B2F"/>
    <w:pPr>
      <w:spacing w:before="160"/>
      <w:jc w:val="center"/>
    </w:pPr>
    <w:rPr>
      <w:i/>
      <w:iCs/>
      <w:color w:val="404040" w:themeColor="text1" w:themeTint="BF"/>
    </w:rPr>
  </w:style>
  <w:style w:type="character" w:customStyle="1" w:styleId="QuoteChar">
    <w:name w:val="Quote Char"/>
    <w:basedOn w:val="DefaultParagraphFont"/>
    <w:link w:val="Quote"/>
    <w:uiPriority w:val="29"/>
    <w:rsid w:val="001C7B2F"/>
    <w:rPr>
      <w:i/>
      <w:iCs/>
      <w:color w:val="404040" w:themeColor="text1" w:themeTint="BF"/>
    </w:rPr>
  </w:style>
  <w:style w:type="paragraph" w:styleId="ListParagraph">
    <w:name w:val="List Paragraph"/>
    <w:basedOn w:val="Normal"/>
    <w:uiPriority w:val="34"/>
    <w:qFormat/>
    <w:rsid w:val="001C7B2F"/>
    <w:pPr>
      <w:ind w:left="720"/>
      <w:contextualSpacing/>
    </w:pPr>
  </w:style>
  <w:style w:type="character" w:styleId="IntenseEmphasis">
    <w:name w:val="Intense Emphasis"/>
    <w:basedOn w:val="DefaultParagraphFont"/>
    <w:uiPriority w:val="21"/>
    <w:qFormat/>
    <w:rsid w:val="001C7B2F"/>
    <w:rPr>
      <w:i/>
      <w:iCs/>
      <w:color w:val="2F5496" w:themeColor="accent1" w:themeShade="BF"/>
    </w:rPr>
  </w:style>
  <w:style w:type="paragraph" w:styleId="IntenseQuote">
    <w:name w:val="Intense Quote"/>
    <w:basedOn w:val="Normal"/>
    <w:next w:val="Normal"/>
    <w:link w:val="IntenseQuoteChar"/>
    <w:uiPriority w:val="30"/>
    <w:qFormat/>
    <w:rsid w:val="001C7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B2F"/>
    <w:rPr>
      <w:i/>
      <w:iCs/>
      <w:color w:val="2F5496" w:themeColor="accent1" w:themeShade="BF"/>
    </w:rPr>
  </w:style>
  <w:style w:type="character" w:styleId="IntenseReference">
    <w:name w:val="Intense Reference"/>
    <w:basedOn w:val="DefaultParagraphFont"/>
    <w:uiPriority w:val="32"/>
    <w:qFormat/>
    <w:rsid w:val="001C7B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1809</Words>
  <Characters>10313</Characters>
  <Application>Microsoft Office Word</Application>
  <DocSecurity>0</DocSecurity>
  <Lines>85</Lines>
  <Paragraphs>24</Paragraphs>
  <ScaleCrop>false</ScaleCrop>
  <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MSME-BENCHMARK-8</dc:title>
  <dc:subject/>
  <dc:creator>madhura vittal</dc:creator>
  <cp:keywords/>
  <dc:description/>
  <cp:lastModifiedBy>madhura vittal</cp:lastModifiedBy>
  <cp:revision>1</cp:revision>
  <dcterms:created xsi:type="dcterms:W3CDTF">2026-08-26T17:02:00Z</dcterms:created>
  <dcterms:modified xsi:type="dcterms:W3CDTF">2026-08-26T17:04:00Z</dcterms:modified>
</cp:coreProperties>
</file>