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ATTACHMENT 2</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PAST PERFORMANCE REFERENCE FORM</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jc w:val="center"/>
        <w:rPr>
          <w:b w:val="1"/>
          <w:color w:val="000000"/>
        </w:rPr>
      </w:pPr>
      <w:r w:rsidDel="00000000" w:rsidR="00000000" w:rsidRPr="00000000">
        <w:rPr>
          <w:rtl w:val="0"/>
        </w:rPr>
      </w:r>
    </w:p>
    <w:tbl>
      <w:tblPr>
        <w:tblStyle w:val="Table1"/>
        <w:tblW w:w="95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0"/>
        <w:tblGridChange w:id="0">
          <w:tblGrid>
            <w:gridCol w:w="9500"/>
          </w:tblGrid>
        </w:tblGridChange>
      </w:tblGrid>
      <w:tr>
        <w:trPr>
          <w:cantSplit w:val="0"/>
          <w:trHeight w:val="62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Offeror’s Name: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Sagely, LLC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rHeight w:val="6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Client/Customer Company Name and Address: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850th Spectrum Warfare Group - DET 1 - Wavelength </w:t>
              <w:br w:type="textWrapping"/>
              <w:t xml:space="preserve">420 Broadway San Antionio TX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rHeight w:val="62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Contract or Agreement plus Contract and other Identification Numbers, if any: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Wavelength Accelerated Value-driven Enablement (WAVE) Task Order off the MATTER IDIQ</w:t>
              <w:br w:type="textWrapping"/>
              <w:t xml:space="preserve">Delivery Order: FA248722FA040</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rHeight w:val="121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Project Manager or Contracting Representative Name, telephone number, fax number and E-mail Address, if available: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COR: Maj Troy Mobley</w:t>
              <w:br w:type="textWrapping"/>
              <w:t xml:space="preserve">Email: troy.mobley.1@us.af.mil </w:t>
              <w:br w:type="textWrapping"/>
              <w:t xml:space="preserve">Phone: 717-371-0870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62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of Performance: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Current PoP: 09/1/2022 – 05/1/2023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161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Service(s) or Product(s):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ind w:left="9.699859619140625" w:firstLine="2.599945068359375"/>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Sagely is currently on contract with the Air Force 350th Spectrum Warfare Wing (Wavelength), a newly-activated 1500-person wing. Sagely provides executive coaching and learning and growth opportunities, both individually and holistically for the organization. All of Sagely’s curated content library, coaching, and enablement offerings are underpinned by the Sagely Platform. This allows what we teach to be reinforced with current and relevant content strategically presented as read-ahead or follow-up material to workshops, lessons, coaching, training, and beyond. </w:t>
            </w:r>
          </w:p>
          <w:p w:rsidR="00000000" w:rsidDel="00000000" w:rsidP="00000000" w:rsidRDefault="00000000" w:rsidRPr="00000000" w14:paraId="0000001D">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E">
            <w:pPr>
              <w:ind w:left="9.699859619140625" w:firstLine="2.599945068359375"/>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F">
            <w:pPr>
              <w:ind w:left="9.699859619140625" w:firstLine="0"/>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All contractual milestones and deliverables are executed on time or early. Customer satisfaction has been gauged throughout the period of performance using Net Promoter Score (NPS) surveys, engagement metrics, and value alignment reporting. The metrics collected all show positive customer satisfaction and employee engagement. 100% of current customers would recommend Sagely workshops, training, coaching, and enablement to a peer. Our experience in creating and executing instruction and coaching for employees and leadership at multiple organizational levels has been well received and provides Wavelength with immense value.</w:t>
            </w:r>
          </w:p>
          <w:p w:rsidR="00000000" w:rsidDel="00000000" w:rsidP="00000000" w:rsidRDefault="00000000" w:rsidRPr="00000000" w14:paraId="00000020">
            <w:pPr>
              <w:ind w:left="9.699859619140625" w:firstLine="2.599945068359375"/>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1">
            <w:pPr>
              <w:ind w:left="9.699859619140625" w:firstLine="2.599945068359375"/>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Sagely is capable of performing this scope of work effectively and efficiently as a Small Business, as demonstrated as the sole executor of the WAVE contract, which is comparable in work scope, magnitude, and complexity to this Department of Treasury Executive Coaching Requirement. Although the work performed on WAVE is a larger requirement with more hands-on training, coaching and enablement support the 1-1 Coaching and Sagely Plaform usage is exactly what the Treasury is looking for and has outlined in their solicitation. </w:t>
            </w:r>
          </w:p>
          <w:p w:rsidR="00000000" w:rsidDel="00000000" w:rsidP="00000000" w:rsidRDefault="00000000" w:rsidRPr="00000000" w14:paraId="00000022">
            <w:pPr>
              <w:ind w:left="9.699859619140625" w:firstLine="2.599945068359375"/>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23">
            <w:pPr>
              <w:ind w:left="9.699859619140625" w:firstLine="2.599945068359375"/>
              <w:jc w:val="both"/>
              <w:rPr>
                <w:rFonts w:ascii="Montserrat Medium" w:cs="Montserrat Medium" w:eastAsia="Montserrat Medium" w:hAnsi="Montserrat Medium"/>
                <w:color w:val="434343"/>
                <w:sz w:val="24"/>
                <w:szCs w:val="24"/>
              </w:rPr>
            </w:pPr>
            <w:r w:rsidDel="00000000" w:rsidR="00000000" w:rsidRPr="00000000">
              <w:rPr>
                <w:rFonts w:ascii="Montserrat Medium" w:cs="Montserrat Medium" w:eastAsia="Montserrat Medium" w:hAnsi="Montserrat Medium"/>
                <w:color w:val="434343"/>
                <w:sz w:val="24"/>
                <w:szCs w:val="24"/>
                <w:rtl w:val="0"/>
              </w:rPr>
              <w:t xml:space="preserve">Performance and execution of this requirement went so well that the Government executed a follow-on. </w:t>
            </w:r>
          </w:p>
          <w:p w:rsidR="00000000" w:rsidDel="00000000" w:rsidP="00000000" w:rsidRDefault="00000000" w:rsidRPr="00000000" w14:paraId="00000024">
            <w:pPr>
              <w:ind w:left="9.699859619140625" w:firstLine="2.599945068359375"/>
              <w:jc w:val="both"/>
              <w:rPr>
                <w:rFonts w:ascii="Montserrat Medium" w:cs="Montserrat Medium" w:eastAsia="Montserrat Medium" w:hAnsi="Montserrat Medium"/>
                <w:color w:val="434343"/>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and Names of Sub-contractors, if any: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Sagely is a sub-contractor and the sole executor of the WAVE Task Orders off the MATTER IDIQ - Monkton Inc is the Prime.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60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Contract/Compensation Type  (client fixed price or cost reimbursement, user fee, or other):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FFP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60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 of Compensation: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$2.5M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033">
      <w:pPr>
        <w:ind w:left="9.699859619140625" w:firstLine="2.599945068359375"/>
        <w:jc w:val="both"/>
        <w:rPr>
          <w:rFonts w:ascii="Times New Roman" w:cs="Times New Roman" w:eastAsia="Times New Roman" w:hAnsi="Times New Roman"/>
          <w:b w:val="1"/>
          <w:sz w:val="24"/>
          <w:szCs w:val="24"/>
          <w:u w:val="singl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200" w:before="80" w:line="276" w:lineRule="auto"/>
      <w:rPr/>
    </w:pPr>
    <w:r w:rsidDel="00000000" w:rsidR="00000000" w:rsidRPr="00000000">
      <w:rPr>
        <w:rFonts w:ascii="Nunito" w:cs="Nunito" w:eastAsia="Nunito" w:hAnsi="Nunito"/>
        <w:i w:val="1"/>
        <w:color w:val="434343"/>
        <w:sz w:val="24"/>
        <w:szCs w:val="24"/>
        <w:rtl w:val="0"/>
      </w:rPr>
      <w:t xml:space="preserve">RFP Number: 2032H323R00065 | Sagely</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1F9D"/>
    <w:pPr>
      <w:spacing w:after="0" w:line="240" w:lineRule="auto"/>
    </w:pPr>
    <w:rPr>
      <w:rFonts w:ascii="Arial" w:cs="Arial" w:eastAsia="Times New Roman"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D8119D"/>
    <w:pPr>
      <w:tabs>
        <w:tab w:val="center" w:pos="4680"/>
        <w:tab w:val="right" w:pos="9360"/>
      </w:tabs>
    </w:pPr>
  </w:style>
  <w:style w:type="character" w:styleId="FooterChar" w:customStyle="1">
    <w:name w:val="Footer Char"/>
    <w:basedOn w:val="DefaultParagraphFont"/>
    <w:link w:val="Footer"/>
    <w:uiPriority w:val="99"/>
    <w:rsid w:val="00D8119D"/>
    <w:rPr>
      <w:rFonts w:ascii="Arial" w:cs="Arial" w:eastAsia="Times New Roman" w:hAnsi="Arial"/>
    </w:rPr>
  </w:style>
  <w:style w:type="paragraph" w:styleId="BodyTextIndent">
    <w:name w:val="Body Text Indent"/>
    <w:basedOn w:val="Normal"/>
    <w:link w:val="BodyTextIndentChar"/>
    <w:uiPriority w:val="99"/>
    <w:rsid w:val="00D8119D"/>
    <w:pPr>
      <w:spacing w:after="120"/>
      <w:ind w:left="360"/>
    </w:pPr>
    <w:rPr>
      <w:rFonts w:ascii="Times New Roman" w:cs="Times New Roman" w:hAnsi="Times New Roman"/>
      <w:sz w:val="24"/>
      <w:szCs w:val="24"/>
    </w:rPr>
  </w:style>
  <w:style w:type="character" w:styleId="BodyTextIndentChar" w:customStyle="1">
    <w:name w:val="Body Text Indent Char"/>
    <w:basedOn w:val="DefaultParagraphFont"/>
    <w:link w:val="BodyTextIndent"/>
    <w:uiPriority w:val="99"/>
    <w:rsid w:val="00D8119D"/>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8E54F1"/>
    <w:pPr>
      <w:tabs>
        <w:tab w:val="center" w:pos="4680"/>
        <w:tab w:val="right" w:pos="9360"/>
      </w:tabs>
    </w:pPr>
  </w:style>
  <w:style w:type="character" w:styleId="HeaderChar" w:customStyle="1">
    <w:name w:val="Header Char"/>
    <w:basedOn w:val="DefaultParagraphFont"/>
    <w:link w:val="Header"/>
    <w:uiPriority w:val="99"/>
    <w:rsid w:val="008E54F1"/>
    <w:rPr>
      <w:rFonts w:ascii="Arial" w:cs="Arial" w:eastAsia="Times New Roman" w:hAnsi="Arial"/>
    </w:rPr>
  </w:style>
  <w:style w:type="paragraph" w:styleId="BalloonText">
    <w:name w:val="Balloon Text"/>
    <w:basedOn w:val="Normal"/>
    <w:link w:val="BalloonTextChar"/>
    <w:uiPriority w:val="99"/>
    <w:semiHidden w:val="1"/>
    <w:unhideWhenUsed w:val="1"/>
    <w:rsid w:val="008E54F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54F1"/>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0nRTRKOtJ039ubxP9SmxXFylw==">CgMxLjA4AHIhMUltVVAwX242RGxVdVZiaHZaaXlfYUU5cFkyZV83TlZl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2021-05-06T12:00:00Z</dcterms:created>
  <dc:creator>Ralawna Cobb</dc:creator>
</cp:coreProperties>
</file>