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DB5CB" w14:textId="688DAE8F" w:rsidR="00FB5224" w:rsidRDefault="00F6476C">
      <w:pPr>
        <w:pBdr>
          <w:top w:val="single" w:sz="36" w:space="14" w:color="1F4E79"/>
        </w:pBdr>
        <w:spacing w:before="1200" w:after="240"/>
      </w:pPr>
      <w:r>
        <w:rPr>
          <w:b/>
          <w:bCs/>
          <w:color w:val="2E75B6"/>
          <w:spacing w:val="60"/>
          <w:sz w:val="24"/>
          <w:szCs w:val="24"/>
        </w:rPr>
        <w:t>ECONOMETRIC TIME SERIES ANALYSIS</w:t>
      </w:r>
    </w:p>
    <w:p w14:paraId="68B41C16" w14:textId="77777777" w:rsidR="00FB5224" w:rsidRDefault="00000000">
      <w:pPr>
        <w:spacing w:before="600" w:after="240"/>
      </w:pPr>
      <w:r>
        <w:rPr>
          <w:b/>
          <w:bCs/>
          <w:color w:val="1F4E79"/>
          <w:sz w:val="56"/>
          <w:szCs w:val="56"/>
        </w:rPr>
        <w:t>The Dynamic Relationship between GDP and Final Consumption Expenditure in Israel, 1970–2025</w:t>
      </w:r>
    </w:p>
    <w:p w14:paraId="60A6750C" w14:textId="77777777" w:rsidR="00FB5224" w:rsidRDefault="00000000">
      <w:pPr>
        <w:pBdr>
          <w:bottom w:val="single" w:sz="12" w:space="10" w:color="1F4E79"/>
        </w:pBdr>
        <w:spacing w:after="400"/>
      </w:pPr>
      <w:r>
        <w:rPr>
          <w:i/>
          <w:iCs/>
          <w:color w:val="595959"/>
          <w:sz w:val="28"/>
          <w:szCs w:val="28"/>
        </w:rPr>
        <w:t>A cointegration and vector error-correction analysis of LGDP and LFCE</w:t>
      </w:r>
    </w:p>
    <w:p w14:paraId="6CE52D44" w14:textId="77777777" w:rsidR="00FB5224" w:rsidRDefault="00000000">
      <w:pPr>
        <w:spacing w:before="200" w:after="80"/>
      </w:pPr>
      <w:r>
        <w:rPr>
          <w:b/>
          <w:bCs/>
          <w:sz w:val="26"/>
          <w:szCs w:val="26"/>
        </w:rPr>
        <w:t>Methodology and Results Report</w:t>
      </w:r>
    </w:p>
    <w:p w14:paraId="2F0676BA" w14:textId="77777777" w:rsidR="00FB5224" w:rsidRDefault="00000000">
      <w:pPr>
        <w:spacing w:after="1400"/>
      </w:pPr>
      <w:r>
        <w:rPr>
          <w:color w:val="595959"/>
          <w:sz w:val="22"/>
          <w:szCs w:val="22"/>
        </w:rPr>
        <w:t>Annual data, 1970–2025 (56 observations)  |  EViews time-series analysis</w:t>
      </w:r>
    </w:p>
    <w:p w14:paraId="77BDF01A" w14:textId="77777777" w:rsidR="00FB5224" w:rsidRDefault="00FB5224">
      <w:pPr>
        <w:sectPr w:rsidR="00FB5224">
          <w:pgSz w:w="11906" w:h="16838"/>
          <w:pgMar w:top="1440" w:right="1440" w:bottom="1300" w:left="1440" w:header="708" w:footer="708" w:gutter="0"/>
          <w:cols w:space="720"/>
          <w:docGrid w:linePitch="360"/>
        </w:sectPr>
      </w:pPr>
    </w:p>
    <w:p w14:paraId="4CB11B57" w14:textId="77777777" w:rsidR="00FB5224" w:rsidRDefault="00000000">
      <w:pPr>
        <w:pBdr>
          <w:bottom w:val="single" w:sz="6" w:space="3" w:color="2E75B6"/>
        </w:pBdr>
        <w:spacing w:after="240"/>
      </w:pPr>
      <w:r>
        <w:rPr>
          <w:b/>
          <w:bCs/>
          <w:color w:val="1F4E79"/>
          <w:sz w:val="30"/>
          <w:szCs w:val="30"/>
        </w:rPr>
        <w:lastRenderedPageBreak/>
        <w:t>Contents</w:t>
      </w:r>
    </w:p>
    <w:p w14:paraId="4172C939" w14:textId="77777777" w:rsidR="00FB5224" w:rsidRDefault="00000000">
      <w:pPr>
        <w:tabs>
          <w:tab w:val="right" w:leader="dot" w:pos="9026"/>
        </w:tabs>
        <w:spacing w:before="100" w:after="60" w:line="288" w:lineRule="auto"/>
      </w:pPr>
      <w:r>
        <w:rPr>
          <w:b/>
          <w:bCs/>
          <w:sz w:val="22"/>
          <w:szCs w:val="22"/>
        </w:rPr>
        <w:t>1. Abstract</w:t>
      </w:r>
      <w:r>
        <w:rPr>
          <w:sz w:val="22"/>
          <w:szCs w:val="22"/>
        </w:rPr>
        <w:tab/>
        <w:t>1</w:t>
      </w:r>
    </w:p>
    <w:p w14:paraId="6B9E69C5" w14:textId="77777777" w:rsidR="00FB5224" w:rsidRDefault="00000000">
      <w:pPr>
        <w:tabs>
          <w:tab w:val="right" w:leader="dot" w:pos="9026"/>
        </w:tabs>
        <w:spacing w:before="100" w:after="60" w:line="288" w:lineRule="auto"/>
      </w:pPr>
      <w:r>
        <w:rPr>
          <w:b/>
          <w:bCs/>
          <w:sz w:val="22"/>
          <w:szCs w:val="22"/>
        </w:rPr>
        <w:t>2. Introduction</w:t>
      </w:r>
      <w:r>
        <w:rPr>
          <w:sz w:val="22"/>
          <w:szCs w:val="22"/>
        </w:rPr>
        <w:tab/>
        <w:t>2</w:t>
      </w:r>
    </w:p>
    <w:p w14:paraId="374C9125" w14:textId="77777777" w:rsidR="00FB5224" w:rsidRDefault="00000000">
      <w:pPr>
        <w:tabs>
          <w:tab w:val="right" w:leader="dot" w:pos="9026"/>
        </w:tabs>
        <w:spacing w:before="100" w:after="60" w:line="288" w:lineRule="auto"/>
      </w:pPr>
      <w:r>
        <w:rPr>
          <w:b/>
          <w:bCs/>
          <w:sz w:val="22"/>
          <w:szCs w:val="22"/>
        </w:rPr>
        <w:t>3. Data and Variables</w:t>
      </w:r>
      <w:r>
        <w:rPr>
          <w:sz w:val="22"/>
          <w:szCs w:val="22"/>
        </w:rPr>
        <w:tab/>
        <w:t>2</w:t>
      </w:r>
    </w:p>
    <w:p w14:paraId="0F69058C" w14:textId="77777777" w:rsidR="00FB5224" w:rsidRDefault="00000000">
      <w:pPr>
        <w:tabs>
          <w:tab w:val="right" w:leader="dot" w:pos="9026"/>
        </w:tabs>
        <w:spacing w:after="60" w:line="288" w:lineRule="auto"/>
        <w:ind w:left="440"/>
      </w:pPr>
      <w:r>
        <w:rPr>
          <w:sz w:val="22"/>
          <w:szCs w:val="22"/>
        </w:rPr>
        <w:t>3.1 Why time-series treatment is required</w:t>
      </w:r>
      <w:r>
        <w:rPr>
          <w:sz w:val="22"/>
          <w:szCs w:val="22"/>
        </w:rPr>
        <w:tab/>
        <w:t>2</w:t>
      </w:r>
    </w:p>
    <w:p w14:paraId="4B067BD0" w14:textId="77777777" w:rsidR="00FB5224" w:rsidRDefault="00000000">
      <w:pPr>
        <w:tabs>
          <w:tab w:val="right" w:leader="dot" w:pos="9026"/>
        </w:tabs>
        <w:spacing w:after="60" w:line="288" w:lineRule="auto"/>
        <w:ind w:left="440"/>
      </w:pPr>
      <w:r>
        <w:rPr>
          <w:sz w:val="22"/>
          <w:szCs w:val="22"/>
        </w:rPr>
        <w:t>3.2 Economic Context, 1970–2025 (Background)</w:t>
      </w:r>
      <w:r>
        <w:rPr>
          <w:sz w:val="22"/>
          <w:szCs w:val="22"/>
        </w:rPr>
        <w:tab/>
        <w:t>3</w:t>
      </w:r>
    </w:p>
    <w:p w14:paraId="52C8BDFE" w14:textId="77777777" w:rsidR="00FB5224" w:rsidRDefault="00000000">
      <w:pPr>
        <w:tabs>
          <w:tab w:val="right" w:leader="dot" w:pos="9026"/>
        </w:tabs>
        <w:spacing w:before="100" w:after="60" w:line="288" w:lineRule="auto"/>
      </w:pPr>
      <w:r>
        <w:rPr>
          <w:b/>
          <w:bCs/>
          <w:sz w:val="22"/>
          <w:szCs w:val="22"/>
        </w:rPr>
        <w:t>4. Descriptive Statistics</w:t>
      </w:r>
      <w:r>
        <w:rPr>
          <w:sz w:val="22"/>
          <w:szCs w:val="22"/>
        </w:rPr>
        <w:tab/>
        <w:t>4</w:t>
      </w:r>
    </w:p>
    <w:p w14:paraId="7A2D9488" w14:textId="77777777" w:rsidR="00FB5224" w:rsidRDefault="00000000">
      <w:pPr>
        <w:tabs>
          <w:tab w:val="right" w:leader="dot" w:pos="9026"/>
        </w:tabs>
        <w:spacing w:before="100" w:after="60" w:line="288" w:lineRule="auto"/>
      </w:pPr>
      <w:r>
        <w:rPr>
          <w:b/>
          <w:bCs/>
          <w:sz w:val="22"/>
          <w:szCs w:val="22"/>
        </w:rPr>
        <w:t>5. ADF Unit-Root Tests</w:t>
      </w:r>
      <w:r>
        <w:rPr>
          <w:sz w:val="22"/>
          <w:szCs w:val="22"/>
        </w:rPr>
        <w:tab/>
        <w:t>4</w:t>
      </w:r>
    </w:p>
    <w:p w14:paraId="41A82EC0" w14:textId="77777777" w:rsidR="00FB5224" w:rsidRDefault="00000000">
      <w:pPr>
        <w:tabs>
          <w:tab w:val="right" w:leader="dot" w:pos="9026"/>
        </w:tabs>
        <w:spacing w:before="100" w:after="60" w:line="288" w:lineRule="auto"/>
      </w:pPr>
      <w:r>
        <w:rPr>
          <w:b/>
          <w:bCs/>
          <w:sz w:val="22"/>
          <w:szCs w:val="22"/>
        </w:rPr>
        <w:t>6. Engle–Granger Cointegration</w:t>
      </w:r>
      <w:r>
        <w:rPr>
          <w:sz w:val="22"/>
          <w:szCs w:val="22"/>
        </w:rPr>
        <w:tab/>
        <w:t>5</w:t>
      </w:r>
    </w:p>
    <w:p w14:paraId="6C1653A3" w14:textId="77777777" w:rsidR="00FB5224" w:rsidRDefault="00000000">
      <w:pPr>
        <w:tabs>
          <w:tab w:val="right" w:leader="dot" w:pos="9026"/>
        </w:tabs>
        <w:spacing w:before="100" w:after="60" w:line="288" w:lineRule="auto"/>
      </w:pPr>
      <w:r>
        <w:rPr>
          <w:b/>
          <w:bCs/>
          <w:sz w:val="22"/>
          <w:szCs w:val="22"/>
        </w:rPr>
        <w:t>7. VAR Lag Selection</w:t>
      </w:r>
      <w:r>
        <w:rPr>
          <w:sz w:val="22"/>
          <w:szCs w:val="22"/>
        </w:rPr>
        <w:tab/>
        <w:t>5</w:t>
      </w:r>
    </w:p>
    <w:p w14:paraId="2F9396E4" w14:textId="77777777" w:rsidR="00FB5224" w:rsidRDefault="00000000">
      <w:pPr>
        <w:tabs>
          <w:tab w:val="right" w:leader="dot" w:pos="9026"/>
        </w:tabs>
        <w:spacing w:before="100" w:after="60" w:line="288" w:lineRule="auto"/>
      </w:pPr>
      <w:r>
        <w:rPr>
          <w:b/>
          <w:bCs/>
          <w:sz w:val="22"/>
          <w:szCs w:val="22"/>
        </w:rPr>
        <w:t>8. Johansen Cointegration</w:t>
      </w:r>
      <w:r>
        <w:rPr>
          <w:sz w:val="22"/>
          <w:szCs w:val="22"/>
        </w:rPr>
        <w:tab/>
        <w:t>6</w:t>
      </w:r>
    </w:p>
    <w:p w14:paraId="4C107A46" w14:textId="77777777" w:rsidR="00FB5224" w:rsidRDefault="00000000">
      <w:pPr>
        <w:tabs>
          <w:tab w:val="right" w:leader="dot" w:pos="9026"/>
        </w:tabs>
        <w:spacing w:before="100" w:after="60" w:line="288" w:lineRule="auto"/>
      </w:pPr>
      <w:r>
        <w:rPr>
          <w:b/>
          <w:bCs/>
          <w:sz w:val="22"/>
          <w:szCs w:val="22"/>
        </w:rPr>
        <w:t>9. Engle–Granger ECM</w:t>
      </w:r>
      <w:r>
        <w:rPr>
          <w:sz w:val="22"/>
          <w:szCs w:val="22"/>
        </w:rPr>
        <w:tab/>
        <w:t>7</w:t>
      </w:r>
    </w:p>
    <w:p w14:paraId="2F2FBA47" w14:textId="77777777" w:rsidR="00FB5224" w:rsidRDefault="00000000">
      <w:pPr>
        <w:tabs>
          <w:tab w:val="right" w:leader="dot" w:pos="9026"/>
        </w:tabs>
        <w:spacing w:before="100" w:after="60" w:line="288" w:lineRule="auto"/>
      </w:pPr>
      <w:r>
        <w:rPr>
          <w:b/>
          <w:bCs/>
          <w:sz w:val="22"/>
          <w:szCs w:val="22"/>
        </w:rPr>
        <w:t>10. Vector Error-Correction Model (VECM)</w:t>
      </w:r>
      <w:r>
        <w:rPr>
          <w:sz w:val="22"/>
          <w:szCs w:val="22"/>
        </w:rPr>
        <w:tab/>
        <w:t>7</w:t>
      </w:r>
    </w:p>
    <w:p w14:paraId="550A1061" w14:textId="77777777" w:rsidR="00FB5224" w:rsidRDefault="00000000">
      <w:pPr>
        <w:tabs>
          <w:tab w:val="right" w:leader="dot" w:pos="9026"/>
        </w:tabs>
        <w:spacing w:before="100" w:after="60" w:line="288" w:lineRule="auto"/>
      </w:pPr>
      <w:r>
        <w:rPr>
          <w:b/>
          <w:bCs/>
          <w:sz w:val="22"/>
          <w:szCs w:val="22"/>
        </w:rPr>
        <w:t>11. Toda–Yamamoto Causality</w:t>
      </w:r>
      <w:r>
        <w:rPr>
          <w:sz w:val="22"/>
          <w:szCs w:val="22"/>
        </w:rPr>
        <w:tab/>
        <w:t>8</w:t>
      </w:r>
    </w:p>
    <w:p w14:paraId="7E234A3A" w14:textId="77777777" w:rsidR="00FB5224" w:rsidRDefault="00000000">
      <w:pPr>
        <w:tabs>
          <w:tab w:val="right" w:leader="dot" w:pos="9026"/>
        </w:tabs>
        <w:spacing w:before="100" w:after="60" w:line="288" w:lineRule="auto"/>
      </w:pPr>
      <w:r>
        <w:rPr>
          <w:b/>
          <w:bCs/>
          <w:sz w:val="22"/>
          <w:szCs w:val="22"/>
        </w:rPr>
        <w:t>12. Impulse Response Functions</w:t>
      </w:r>
      <w:r>
        <w:rPr>
          <w:sz w:val="22"/>
          <w:szCs w:val="22"/>
        </w:rPr>
        <w:tab/>
        <w:t>9</w:t>
      </w:r>
    </w:p>
    <w:p w14:paraId="2AE38FFA" w14:textId="77777777" w:rsidR="00FB5224" w:rsidRDefault="00000000">
      <w:pPr>
        <w:tabs>
          <w:tab w:val="right" w:leader="dot" w:pos="9026"/>
        </w:tabs>
        <w:spacing w:before="100" w:after="60" w:line="288" w:lineRule="auto"/>
      </w:pPr>
      <w:r>
        <w:rPr>
          <w:b/>
          <w:bCs/>
          <w:sz w:val="22"/>
          <w:szCs w:val="22"/>
        </w:rPr>
        <w:t>13. Forecast-Error Variance Decomposition</w:t>
      </w:r>
      <w:r>
        <w:rPr>
          <w:sz w:val="22"/>
          <w:szCs w:val="22"/>
        </w:rPr>
        <w:tab/>
        <w:t>10</w:t>
      </w:r>
    </w:p>
    <w:p w14:paraId="77173BDD" w14:textId="77777777" w:rsidR="00FB5224" w:rsidRDefault="00000000">
      <w:pPr>
        <w:tabs>
          <w:tab w:val="right" w:leader="dot" w:pos="9026"/>
        </w:tabs>
        <w:spacing w:before="100" w:after="60" w:line="288" w:lineRule="auto"/>
      </w:pPr>
      <w:r>
        <w:rPr>
          <w:b/>
          <w:bCs/>
          <w:sz w:val="22"/>
          <w:szCs w:val="22"/>
        </w:rPr>
        <w:t>14. VECM Residual Diagnostics</w:t>
      </w:r>
      <w:r>
        <w:rPr>
          <w:sz w:val="22"/>
          <w:szCs w:val="22"/>
        </w:rPr>
        <w:tab/>
        <w:t>10</w:t>
      </w:r>
    </w:p>
    <w:p w14:paraId="51608984" w14:textId="77777777" w:rsidR="00FB5224" w:rsidRDefault="00000000">
      <w:pPr>
        <w:tabs>
          <w:tab w:val="right" w:leader="dot" w:pos="9026"/>
        </w:tabs>
        <w:spacing w:before="100" w:after="60" w:line="288" w:lineRule="auto"/>
      </w:pPr>
      <w:r>
        <w:rPr>
          <w:b/>
          <w:bCs/>
          <w:sz w:val="22"/>
          <w:szCs w:val="22"/>
        </w:rPr>
        <w:t>15. Overall Economic Interpretation</w:t>
      </w:r>
      <w:r>
        <w:rPr>
          <w:sz w:val="22"/>
          <w:szCs w:val="22"/>
        </w:rPr>
        <w:tab/>
        <w:t>11</w:t>
      </w:r>
    </w:p>
    <w:p w14:paraId="7F886D15" w14:textId="77777777" w:rsidR="00FB5224" w:rsidRDefault="00000000">
      <w:pPr>
        <w:tabs>
          <w:tab w:val="right" w:leader="dot" w:pos="9026"/>
        </w:tabs>
        <w:spacing w:before="100" w:after="60" w:line="288" w:lineRule="auto"/>
      </w:pPr>
      <w:r>
        <w:rPr>
          <w:b/>
          <w:bCs/>
          <w:sz w:val="22"/>
          <w:szCs w:val="22"/>
        </w:rPr>
        <w:t>16. Limitations</w:t>
      </w:r>
      <w:r>
        <w:rPr>
          <w:sz w:val="22"/>
          <w:szCs w:val="22"/>
        </w:rPr>
        <w:tab/>
        <w:t>11</w:t>
      </w:r>
    </w:p>
    <w:p w14:paraId="2FCDC08E" w14:textId="77777777" w:rsidR="00FB5224" w:rsidRDefault="00000000">
      <w:pPr>
        <w:tabs>
          <w:tab w:val="right" w:leader="dot" w:pos="9026"/>
        </w:tabs>
        <w:spacing w:before="100" w:after="60" w:line="288" w:lineRule="auto"/>
      </w:pPr>
      <w:r>
        <w:rPr>
          <w:b/>
          <w:bCs/>
          <w:sz w:val="22"/>
          <w:szCs w:val="22"/>
        </w:rPr>
        <w:t>17. Conclusion</w:t>
      </w:r>
      <w:r>
        <w:rPr>
          <w:sz w:val="22"/>
          <w:szCs w:val="22"/>
        </w:rPr>
        <w:tab/>
        <w:t>11</w:t>
      </w:r>
    </w:p>
    <w:p w14:paraId="0360E03B" w14:textId="77777777" w:rsidR="00FB5224" w:rsidRDefault="00000000">
      <w:pPr>
        <w:tabs>
          <w:tab w:val="right" w:leader="dot" w:pos="9026"/>
        </w:tabs>
        <w:spacing w:before="100" w:after="60" w:line="288" w:lineRule="auto"/>
      </w:pPr>
      <w:r>
        <w:rPr>
          <w:b/>
          <w:bCs/>
          <w:sz w:val="22"/>
          <w:szCs w:val="22"/>
        </w:rPr>
        <w:t>Key Findings</w:t>
      </w:r>
      <w:r>
        <w:rPr>
          <w:sz w:val="22"/>
          <w:szCs w:val="22"/>
        </w:rPr>
        <w:tab/>
        <w:t>12</w:t>
      </w:r>
    </w:p>
    <w:p w14:paraId="3686E657" w14:textId="77777777" w:rsidR="00FB5224" w:rsidRDefault="00000000">
      <w:pPr>
        <w:tabs>
          <w:tab w:val="right" w:leader="dot" w:pos="9026"/>
        </w:tabs>
        <w:spacing w:before="100" w:after="60" w:line="288" w:lineRule="auto"/>
      </w:pPr>
      <w:r>
        <w:rPr>
          <w:b/>
          <w:bCs/>
          <w:sz w:val="22"/>
          <w:szCs w:val="22"/>
        </w:rPr>
        <w:t>References</w:t>
      </w:r>
      <w:r>
        <w:rPr>
          <w:sz w:val="22"/>
          <w:szCs w:val="22"/>
        </w:rPr>
        <w:tab/>
        <w:t>12</w:t>
      </w:r>
    </w:p>
    <w:p w14:paraId="703F6634" w14:textId="77777777" w:rsidR="00FB5224" w:rsidRDefault="00FB5224">
      <w:pPr>
        <w:sectPr w:rsidR="00FB5224">
          <w:footerReference w:type="default" r:id="rId7"/>
          <w:pgSz w:w="11906" w:h="16838"/>
          <w:pgMar w:top="1300" w:right="1440" w:bottom="1200" w:left="1440" w:header="708" w:footer="708" w:gutter="0"/>
          <w:pgNumType w:fmt="lowerRoman" w:start="1"/>
          <w:cols w:space="720"/>
          <w:docGrid w:linePitch="360"/>
        </w:sectPr>
      </w:pPr>
    </w:p>
    <w:p w14:paraId="4B40C77C" w14:textId="77777777" w:rsidR="00FB5224" w:rsidRDefault="00000000">
      <w:pPr>
        <w:pStyle w:val="Heading1"/>
        <w:keepNext/>
      </w:pPr>
      <w:r>
        <w:lastRenderedPageBreak/>
        <w:t>1. Abstract</w:t>
      </w:r>
    </w:p>
    <w:p w14:paraId="0F31BDC9" w14:textId="77777777" w:rsidR="00FB5224" w:rsidRDefault="00000000">
      <w:pPr>
        <w:spacing w:after="140" w:line="300" w:lineRule="auto"/>
        <w:jc w:val="both"/>
      </w:pPr>
      <w:r>
        <w:rPr>
          <w:b/>
          <w:bCs/>
        </w:rPr>
        <w:t>Objective.</w:t>
      </w:r>
      <w:r>
        <w:t xml:space="preserve"> This report examines the short-run and long-run relationship between Israel’s Gross Domestic Product (GDP) and Final Consumption Expenditure (FCE), and how the system responds when either variable is shocked.</w:t>
      </w:r>
    </w:p>
    <w:p w14:paraId="024A846A" w14:textId="77777777" w:rsidR="00FB5224" w:rsidRDefault="00000000">
      <w:pPr>
        <w:spacing w:after="140" w:line="300" w:lineRule="auto"/>
        <w:jc w:val="both"/>
      </w:pPr>
      <w:r>
        <w:rPr>
          <w:b/>
          <w:bCs/>
        </w:rPr>
        <w:t>Data.</w:t>
      </w:r>
      <w:r>
        <w:t xml:space="preserve"> Annual observations for 1970–2025 (56 observations), transformed into natural logarithms (LGDP and LFCE).</w:t>
      </w:r>
    </w:p>
    <w:p w14:paraId="7FC6996A" w14:textId="77777777" w:rsidR="00FB5224" w:rsidRDefault="00000000">
      <w:pPr>
        <w:spacing w:after="140" w:line="300" w:lineRule="auto"/>
        <w:jc w:val="both"/>
      </w:pPr>
      <w:r>
        <w:rPr>
          <w:b/>
          <w:bCs/>
        </w:rPr>
        <w:t>Methods.</w:t>
      </w:r>
      <w:r>
        <w:t xml:space="preserve"> Descriptive statistics; Augmented Dickey–Fuller (ADF) unit-root tests; Engle–Granger cointegration and error-correction model (ECM); VAR lag-length selection; Johansen cointegration tests; a vector error-correction model (VECM); Toda–Yamamoto Granger causality; generalized impulse responses; Cholesky forecast-error variance decomposition; and VECM residual diagnostics.</w:t>
      </w:r>
    </w:p>
    <w:p w14:paraId="00F87F96" w14:textId="77777777" w:rsidR="00FB5224" w:rsidRDefault="00000000">
      <w:pPr>
        <w:spacing w:after="140" w:line="300" w:lineRule="auto"/>
        <w:jc w:val="both"/>
      </w:pPr>
      <w:r>
        <w:rPr>
          <w:b/>
          <w:bCs/>
        </w:rPr>
        <w:t>Findings.</w:t>
      </w:r>
      <w:r>
        <w:t xml:space="preserve"> LGDP and LFCE are both I(1). Engle–Granger gives only borderline evidence of cointegration (residual ADF −1.910393, p = 0.0542: not significant at 5%, significant at 10%), whereas the Johansen trace and maximum-eigenvalue tests both identify one cointegrating vector at 5%, with the normalized long-run relation LGDP = 1.042816 LFCE − 0.829802. The ECM shows a strong short-run association (ΔLFCE coefficient 0.960486, p &lt; 0.001) and a significant error-correction coefficient of −0.420759 (p = 0.0010). In the VECM, the LFCE equation responds significantly to disequilibrium while the LGDP equation does not at 5%. Toda–Yamamoto tests find no Granger causality in either direction at 5%. Impulse responses are positive and persistent; at the 10-period horizon, own shocks explain 89.82% of LGDP forecast-error variance and LGDP shocks explain 90.21% of LFCE forecast-error variance. VECM residual diagnostics reveal serial correlation, non-normality and heteroskedasticity.</w:t>
      </w:r>
    </w:p>
    <w:p w14:paraId="58433C49" w14:textId="77777777" w:rsidR="00FB5224" w:rsidRDefault="00000000">
      <w:pPr>
        <w:spacing w:after="140" w:line="300" w:lineRule="auto"/>
        <w:jc w:val="both"/>
      </w:pPr>
      <w:r>
        <w:rPr>
          <w:b/>
          <w:bCs/>
        </w:rPr>
        <w:t>Conclusion.</w:t>
      </w:r>
      <w:r>
        <w:t xml:space="preserve"> The evidence supports a meaningful long-run equilibrium and strong dynamic interdependence between GDP and FCE, but not a formally identified causal structure; the results should be presented with explicit caution about the residual diagnostics.</w:t>
      </w:r>
    </w:p>
    <w:p w14:paraId="266CAF76" w14:textId="77777777" w:rsidR="00FB5224" w:rsidRDefault="00000000">
      <w:pPr>
        <w:spacing w:after="140" w:line="300" w:lineRule="auto"/>
        <w:jc w:val="both"/>
      </w:pPr>
      <w:r>
        <w:rPr>
          <w:b/>
          <w:bCs/>
        </w:rPr>
        <w:t>Keywords:</w:t>
      </w:r>
      <w:r>
        <w:t xml:space="preserve"> GDP; final consumption expenditure; Israel; unit root; cointegration; VECM; Toda–Yamamoto; impulse response; variance decomposition.</w:t>
      </w:r>
    </w:p>
    <w:p w14:paraId="3294193C" w14:textId="77777777" w:rsidR="00FB5224" w:rsidRDefault="00000000">
      <w:pPr>
        <w:pStyle w:val="Heading1"/>
        <w:keepNext/>
        <w:pageBreakBefore/>
      </w:pPr>
      <w:r>
        <w:lastRenderedPageBreak/>
        <w:t>2. Introduction</w:t>
      </w:r>
    </w:p>
    <w:p w14:paraId="7698E4B1" w14:textId="77777777" w:rsidR="00FB5224" w:rsidRDefault="00000000">
      <w:pPr>
        <w:spacing w:after="140" w:line="300" w:lineRule="auto"/>
        <w:jc w:val="both"/>
      </w:pPr>
      <w:r>
        <w:t>GDP measures aggregate economic output and income, while FCE measures expenditure on final goods and services. The two are closely connected: higher income can support higher consumption, and stronger demand for final goods and services can raise production and income. Because the link may run in both directions and may operate over different time horizons, it is best studied with a time-series framework that separates long-run equilibrium from short-run dynamics.</w:t>
      </w:r>
    </w:p>
    <w:p w14:paraId="628A4898" w14:textId="77777777" w:rsidR="00FB5224" w:rsidRDefault="00000000">
      <w:pPr>
        <w:spacing w:after="140" w:line="300" w:lineRule="auto"/>
        <w:jc w:val="both"/>
      </w:pPr>
      <w:r>
        <w:rPr>
          <w:b/>
          <w:bCs/>
        </w:rPr>
        <w:t>Theoretical framework.</w:t>
      </w:r>
      <w:r>
        <w:t xml:space="preserve"> Under the expenditure approach, GDP is the sum of final expenditures on goods and services, of which final consumption expenditure (household and government consumption) is one component. Aggregate demand therefore determines how much producers sell and produce; production generates income; and income in turn finances further consumption. This circular flow implies that GDP and FCE should be linked in equilibrium, while the mechanism can run in either direction and with different strength in the short and long run. The empirical analysis tests these implications rather than assuming them.</w:t>
      </w:r>
    </w:p>
    <w:p w14:paraId="6E0FD771" w14:textId="77777777" w:rsidR="00FB5224" w:rsidRDefault="00000000">
      <w:pPr>
        <w:spacing w:after="140" w:line="300" w:lineRule="auto"/>
        <w:jc w:val="both"/>
      </w:pPr>
      <w:r>
        <w:rPr>
          <w:b/>
          <w:bCs/>
        </w:rPr>
        <w:t>Central question.</w:t>
      </w:r>
      <w:r>
        <w:t xml:space="preserve"> How are consumption expenditure and GDP related in the short run and long run, and how does the economy respond when either variable experiences a shock?</w:t>
      </w:r>
    </w:p>
    <w:p w14:paraId="70C8FD4A" w14:textId="77777777" w:rsidR="00FB5224" w:rsidRDefault="00000000">
      <w:pPr>
        <w:spacing w:after="140" w:line="300" w:lineRule="auto"/>
        <w:jc w:val="both"/>
      </w:pPr>
      <w:r>
        <w:rPr>
          <w:b/>
          <w:bCs/>
        </w:rPr>
        <w:t>Research objective.</w:t>
      </w:r>
      <w:r>
        <w:t xml:space="preserve"> To establish the order of integration of LGDP and LFCE, test for a long-run equilibrium relationship, estimate the short-run adjustment mechanism, assess predictive (Granger) causality, trace dynamic responses to shocks, and evaluate the adequacy of the estimated model. The analysis follows this sequence:</w:t>
      </w:r>
    </w:p>
    <w:p w14:paraId="69A9E7CE" w14:textId="77777777" w:rsidR="00FB5224" w:rsidRDefault="00000000">
      <w:pPr>
        <w:spacing w:before="80" w:after="160"/>
        <w:jc w:val="center"/>
      </w:pPr>
      <w:r>
        <w:rPr>
          <w:i/>
          <w:iCs/>
          <w:sz w:val="22"/>
          <w:szCs w:val="22"/>
        </w:rPr>
        <w:t>Descriptive statistics → Unit roots → Cointegration → Short-run / long-run modelling → Causality → Impulse responses → Variance decomposition → Residual diagnostics</w:t>
      </w:r>
    </w:p>
    <w:p w14:paraId="362EC7A4" w14:textId="77777777" w:rsidR="00FB5224" w:rsidRDefault="00000000">
      <w:pPr>
        <w:pStyle w:val="Heading1"/>
        <w:keepNext/>
      </w:pPr>
      <w:r>
        <w:t>3. Data and Variables</w:t>
      </w:r>
    </w:p>
    <w:p w14:paraId="3BADB772" w14:textId="77777777" w:rsidR="00FB5224" w:rsidRDefault="00000000">
      <w:pPr>
        <w:spacing w:after="140" w:line="300" w:lineRule="auto"/>
        <w:jc w:val="both"/>
      </w:pPr>
      <w:r>
        <w:t>The dataset consists of annual observations for Israel over 1970–2025, giving 56 observations. All estimation results in this report are taken from the study record. Section 3.2 adds descriptive background from official sources and introduces no additional results.</w:t>
      </w:r>
    </w:p>
    <w:p w14:paraId="1263543A" w14:textId="77777777" w:rsidR="00FB5224" w:rsidRDefault="00000000">
      <w:pPr>
        <w:keepNext/>
        <w:spacing w:before="160" w:after="80"/>
      </w:pPr>
      <w:r>
        <w:rPr>
          <w:b/>
          <w:bCs/>
          <w:i/>
          <w:iCs/>
          <w:color w:val="1F4E79"/>
          <w:sz w:val="21"/>
          <w:szCs w:val="21"/>
        </w:rPr>
        <w:t>Table 1. Variables and economic meaning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5026"/>
      </w:tblGrid>
      <w:tr w:rsidR="00FB5224" w14:paraId="0726DE49" w14:textId="77777777">
        <w:trPr>
          <w:tblHeader/>
        </w:trPr>
        <w:tc>
          <w:tcPr>
            <w:tcW w:w="13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07A2F750" w14:textId="77777777" w:rsidR="00FB5224" w:rsidRDefault="00000000">
            <w:pPr>
              <w:keepNext/>
              <w:spacing w:line="252" w:lineRule="auto"/>
            </w:pPr>
            <w:r>
              <w:rPr>
                <w:b/>
                <w:bCs/>
                <w:color w:val="1F4E79"/>
                <w:sz w:val="20"/>
                <w:szCs w:val="20"/>
              </w:rPr>
              <w:t>Variable</w:t>
            </w:r>
          </w:p>
        </w:tc>
        <w:tc>
          <w:tcPr>
            <w:tcW w:w="27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11F65B0F" w14:textId="77777777" w:rsidR="00FB5224" w:rsidRDefault="00000000">
            <w:pPr>
              <w:keepNext/>
              <w:spacing w:line="252" w:lineRule="auto"/>
            </w:pPr>
            <w:r>
              <w:rPr>
                <w:b/>
                <w:bCs/>
                <w:color w:val="1F4E79"/>
                <w:sz w:val="20"/>
                <w:szCs w:val="20"/>
              </w:rPr>
              <w:t>Meaning</w:t>
            </w:r>
          </w:p>
        </w:tc>
        <w:tc>
          <w:tcPr>
            <w:tcW w:w="5026"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330FFB42" w14:textId="77777777" w:rsidR="00FB5224" w:rsidRDefault="00000000">
            <w:pPr>
              <w:keepNext/>
              <w:spacing w:line="252" w:lineRule="auto"/>
            </w:pPr>
            <w:r>
              <w:rPr>
                <w:b/>
                <w:bCs/>
                <w:color w:val="1F4E79"/>
                <w:sz w:val="20"/>
                <w:szCs w:val="20"/>
              </w:rPr>
              <w:t>Economic intuition</w:t>
            </w:r>
          </w:p>
        </w:tc>
      </w:tr>
      <w:tr w:rsidR="00FB5224" w14:paraId="3523669D" w14:textId="77777777">
        <w:trPr>
          <w:cantSplit/>
        </w:trPr>
        <w:tc>
          <w:tcPr>
            <w:tcW w:w="13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792A38AF" w14:textId="77777777" w:rsidR="00FB5224" w:rsidRDefault="00000000">
            <w:pPr>
              <w:keepNext/>
              <w:spacing w:line="252" w:lineRule="auto"/>
            </w:pPr>
            <w:r>
              <w:rPr>
                <w:b/>
                <w:bCs/>
                <w:sz w:val="20"/>
                <w:szCs w:val="20"/>
              </w:rPr>
              <w:t>GDP</w:t>
            </w:r>
          </w:p>
        </w:tc>
        <w:tc>
          <w:tcPr>
            <w:tcW w:w="2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3CD8B2E" w14:textId="77777777" w:rsidR="00FB5224" w:rsidRDefault="00000000">
            <w:pPr>
              <w:keepNext/>
              <w:spacing w:line="252" w:lineRule="auto"/>
            </w:pPr>
            <w:r>
              <w:rPr>
                <w:sz w:val="20"/>
                <w:szCs w:val="20"/>
              </w:rPr>
              <w:t>Gross Domestic Product</w:t>
            </w:r>
          </w:p>
        </w:tc>
        <w:tc>
          <w:tcPr>
            <w:tcW w:w="50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F615C6B" w14:textId="77777777" w:rsidR="00FB5224" w:rsidRDefault="00000000">
            <w:pPr>
              <w:keepNext/>
              <w:spacing w:line="252" w:lineRule="auto"/>
            </w:pPr>
            <w:r>
              <w:rPr>
                <w:sz w:val="20"/>
                <w:szCs w:val="20"/>
              </w:rPr>
              <w:t>Aggregate economic output/income; higher GDP generally reflects greater productive activity.</w:t>
            </w:r>
          </w:p>
        </w:tc>
      </w:tr>
      <w:tr w:rsidR="00FB5224" w14:paraId="3AFF29FE" w14:textId="77777777">
        <w:trPr>
          <w:cantSplit/>
        </w:trPr>
        <w:tc>
          <w:tcPr>
            <w:tcW w:w="13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A246489" w14:textId="77777777" w:rsidR="00FB5224" w:rsidRDefault="00000000">
            <w:pPr>
              <w:keepNext/>
              <w:spacing w:line="252" w:lineRule="auto"/>
            </w:pPr>
            <w:r>
              <w:rPr>
                <w:b/>
                <w:bCs/>
                <w:sz w:val="20"/>
                <w:szCs w:val="20"/>
              </w:rPr>
              <w:t>FCE</w:t>
            </w:r>
          </w:p>
        </w:tc>
        <w:tc>
          <w:tcPr>
            <w:tcW w:w="2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131AAE5" w14:textId="77777777" w:rsidR="00FB5224" w:rsidRDefault="00000000">
            <w:pPr>
              <w:keepNext/>
              <w:spacing w:line="252" w:lineRule="auto"/>
            </w:pPr>
            <w:r>
              <w:rPr>
                <w:sz w:val="20"/>
                <w:szCs w:val="20"/>
              </w:rPr>
              <w:t>Final Consumption Expenditure</w:t>
            </w:r>
          </w:p>
        </w:tc>
        <w:tc>
          <w:tcPr>
            <w:tcW w:w="50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7975E5D6" w14:textId="77777777" w:rsidR="00FB5224" w:rsidRDefault="00000000">
            <w:pPr>
              <w:keepNext/>
              <w:spacing w:line="252" w:lineRule="auto"/>
            </w:pPr>
            <w:r>
              <w:rPr>
                <w:sz w:val="20"/>
                <w:szCs w:val="20"/>
              </w:rPr>
              <w:t>Expenditure on final goods and services by households and the government/other final users.</w:t>
            </w:r>
          </w:p>
        </w:tc>
      </w:tr>
      <w:tr w:rsidR="00FB5224" w14:paraId="6D49CECC" w14:textId="77777777">
        <w:trPr>
          <w:cantSplit/>
        </w:trPr>
        <w:tc>
          <w:tcPr>
            <w:tcW w:w="13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9FADACD" w14:textId="77777777" w:rsidR="00FB5224" w:rsidRDefault="00000000">
            <w:pPr>
              <w:keepNext/>
              <w:spacing w:line="252" w:lineRule="auto"/>
            </w:pPr>
            <w:r>
              <w:rPr>
                <w:b/>
                <w:bCs/>
                <w:sz w:val="20"/>
                <w:szCs w:val="20"/>
              </w:rPr>
              <w:t>LGDP</w:t>
            </w:r>
          </w:p>
        </w:tc>
        <w:tc>
          <w:tcPr>
            <w:tcW w:w="2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7A8C908" w14:textId="77777777" w:rsidR="00FB5224" w:rsidRDefault="00000000">
            <w:pPr>
              <w:keepNext/>
              <w:spacing w:line="252" w:lineRule="auto"/>
            </w:pPr>
            <w:r>
              <w:rPr>
                <w:sz w:val="20"/>
                <w:szCs w:val="20"/>
              </w:rPr>
              <w:t>ln(GDP)</w:t>
            </w:r>
          </w:p>
        </w:tc>
        <w:tc>
          <w:tcPr>
            <w:tcW w:w="50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1351A97" w14:textId="77777777" w:rsidR="00FB5224" w:rsidRDefault="00000000">
            <w:pPr>
              <w:keepNext/>
              <w:spacing w:line="252" w:lineRule="auto"/>
            </w:pPr>
            <w:r>
              <w:rPr>
                <w:sz w:val="20"/>
                <w:szCs w:val="20"/>
              </w:rPr>
              <w:t>Log transformation allows coefficients to be read in proportional/elasticity terms.</w:t>
            </w:r>
          </w:p>
        </w:tc>
      </w:tr>
      <w:tr w:rsidR="00FB5224" w14:paraId="271C9AD8" w14:textId="77777777">
        <w:trPr>
          <w:cantSplit/>
        </w:trPr>
        <w:tc>
          <w:tcPr>
            <w:tcW w:w="13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438F4DF0" w14:textId="77777777" w:rsidR="00FB5224" w:rsidRDefault="00000000">
            <w:pPr>
              <w:spacing w:line="252" w:lineRule="auto"/>
            </w:pPr>
            <w:r>
              <w:rPr>
                <w:b/>
                <w:bCs/>
                <w:sz w:val="20"/>
                <w:szCs w:val="20"/>
              </w:rPr>
              <w:t>LFCE</w:t>
            </w:r>
          </w:p>
        </w:tc>
        <w:tc>
          <w:tcPr>
            <w:tcW w:w="27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6BADCFDE" w14:textId="77777777" w:rsidR="00FB5224" w:rsidRDefault="00000000">
            <w:pPr>
              <w:spacing w:line="252" w:lineRule="auto"/>
            </w:pPr>
            <w:r>
              <w:rPr>
                <w:sz w:val="20"/>
                <w:szCs w:val="20"/>
              </w:rPr>
              <w:t>ln(FCE)</w:t>
            </w:r>
          </w:p>
        </w:tc>
        <w:tc>
          <w:tcPr>
            <w:tcW w:w="502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060C7622" w14:textId="77777777" w:rsidR="00FB5224" w:rsidRDefault="00000000">
            <w:pPr>
              <w:spacing w:line="252" w:lineRule="auto"/>
            </w:pPr>
            <w:r>
              <w:rPr>
                <w:sz w:val="20"/>
                <w:szCs w:val="20"/>
              </w:rPr>
              <w:t>Proportional measure of consumption expenditure; permits long-run elasticity interpretation.</w:t>
            </w:r>
          </w:p>
        </w:tc>
      </w:tr>
    </w:tbl>
    <w:p w14:paraId="0F6D158E" w14:textId="77777777" w:rsidR="00FB5224" w:rsidRDefault="00000000">
      <w:pPr>
        <w:pStyle w:val="Heading2"/>
        <w:keepNext/>
      </w:pPr>
      <w:r>
        <w:t>3.1 Why time-series treatment is required</w:t>
      </w:r>
    </w:p>
    <w:p w14:paraId="66E0AE31" w14:textId="77777777" w:rsidR="00FB5224" w:rsidRDefault="00000000">
      <w:pPr>
        <w:spacing w:after="140" w:line="300" w:lineRule="auto"/>
        <w:jc w:val="both"/>
      </w:pPr>
      <w:r>
        <w:t xml:space="preserve">GDP and FCE typically trend upward over long periods because of population growth, productivity, capital accumulation and structural development (and price effects in nominal series). </w:t>
      </w:r>
      <w:r>
        <w:lastRenderedPageBreak/>
        <w:t xml:space="preserve">A regression of two trending, nonstationary series can show a high fit even when the relationship is not economically meaningful; this is the </w:t>
      </w:r>
      <w:r>
        <w:rPr>
          <w:b/>
          <w:bCs/>
        </w:rPr>
        <w:t>spurious-regression problem</w:t>
      </w:r>
      <w:r>
        <w:t>. The key concepts used throughout are:</w:t>
      </w:r>
    </w:p>
    <w:p w14:paraId="54878430" w14:textId="77777777" w:rsidR="00FB5224" w:rsidRDefault="00000000">
      <w:pPr>
        <w:pStyle w:val="ListParagraph"/>
        <w:numPr>
          <w:ilvl w:val="0"/>
          <w:numId w:val="2"/>
        </w:numPr>
        <w:spacing w:after="60" w:line="276" w:lineRule="auto"/>
      </w:pPr>
      <w:r>
        <w:rPr>
          <w:b/>
          <w:bCs/>
        </w:rPr>
        <w:t>Stationarity:</w:t>
      </w:r>
      <w:r>
        <w:t xml:space="preserve"> a stationary series fluctuates around a stable stochastic process rather than carrying a persistent unit-root trend.</w:t>
      </w:r>
    </w:p>
    <w:p w14:paraId="6DE6FEF9" w14:textId="77777777" w:rsidR="00FB5224" w:rsidRDefault="00000000">
      <w:pPr>
        <w:pStyle w:val="ListParagraph"/>
        <w:numPr>
          <w:ilvl w:val="0"/>
          <w:numId w:val="2"/>
        </w:numPr>
        <w:spacing w:after="60" w:line="276" w:lineRule="auto"/>
      </w:pPr>
      <w:r>
        <w:rPr>
          <w:b/>
          <w:bCs/>
        </w:rPr>
        <w:t>I(1):</w:t>
      </w:r>
      <w:r>
        <w:t xml:space="preserve"> the level is nonstationary but the first difference is stationary.</w:t>
      </w:r>
    </w:p>
    <w:p w14:paraId="51D098FB" w14:textId="77777777" w:rsidR="00FB5224" w:rsidRDefault="00000000">
      <w:pPr>
        <w:pStyle w:val="ListParagraph"/>
        <w:numPr>
          <w:ilvl w:val="0"/>
          <w:numId w:val="2"/>
        </w:numPr>
        <w:spacing w:after="60" w:line="276" w:lineRule="auto"/>
      </w:pPr>
      <w:r>
        <w:rPr>
          <w:b/>
          <w:bCs/>
        </w:rPr>
        <w:t>Cointegration:</w:t>
      </w:r>
      <w:r>
        <w:t xml:space="preserve"> two I(1) variables can share a stable long-run equilibrium relationship even though each is individually nonstationary.</w:t>
      </w:r>
    </w:p>
    <w:p w14:paraId="4A89BF35" w14:textId="77777777" w:rsidR="00FB5224" w:rsidRDefault="00000000">
      <w:pPr>
        <w:pStyle w:val="ListParagraph"/>
        <w:numPr>
          <w:ilvl w:val="0"/>
          <w:numId w:val="2"/>
        </w:numPr>
        <w:spacing w:after="60" w:line="276" w:lineRule="auto"/>
      </w:pPr>
      <w:r>
        <w:rPr>
          <w:b/>
          <w:bCs/>
        </w:rPr>
        <w:t>VECM:</w:t>
      </w:r>
      <w:r>
        <w:t xml:space="preserve"> combines short-run changes with the long-run equilibrium (error-correction) mechanism.</w:t>
      </w:r>
    </w:p>
    <w:p w14:paraId="21792EEB" w14:textId="77777777" w:rsidR="00FB5224" w:rsidRDefault="00000000">
      <w:pPr>
        <w:pStyle w:val="Heading2"/>
        <w:keepNext/>
      </w:pPr>
      <w:r>
        <w:t>3.2 Economic Context, 1970–2025 (Background)</w:t>
      </w:r>
    </w:p>
    <w:p w14:paraId="4109BEF8" w14:textId="77777777" w:rsidR="00FB5224" w:rsidRDefault="00000000">
      <w:pPr>
        <w:spacing w:after="140" w:line="300" w:lineRule="auto"/>
        <w:jc w:val="both"/>
      </w:pPr>
      <w:r>
        <w:t>This subsection is background only. It summarizes selected episodes from official publications to place the sample period in context; none of the econometric results depends on it, and the study did not test whether any episode changed the GDP–FCE relationship.</w:t>
      </w:r>
    </w:p>
    <w:p w14:paraId="2DF00284" w14:textId="77777777" w:rsidR="00FB5224" w:rsidRDefault="00000000">
      <w:pPr>
        <w:keepNext/>
        <w:spacing w:before="160" w:after="80"/>
      </w:pPr>
      <w:r>
        <w:rPr>
          <w:b/>
          <w:bCs/>
          <w:i/>
          <w:iCs/>
          <w:color w:val="1F4E79"/>
          <w:sz w:val="21"/>
          <w:szCs w:val="21"/>
        </w:rPr>
        <w:lastRenderedPageBreak/>
        <w:t>Table 2. Selected features of Israel’s economic environment, from official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5250"/>
        <w:gridCol w:w="2526"/>
      </w:tblGrid>
      <w:tr w:rsidR="00FB5224" w14:paraId="427E0A08" w14:textId="77777777">
        <w:trPr>
          <w:tblHeader/>
        </w:trPr>
        <w:tc>
          <w:tcPr>
            <w:tcW w:w="125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6B9D544C" w14:textId="77777777" w:rsidR="00FB5224" w:rsidRDefault="00000000">
            <w:pPr>
              <w:keepNext/>
              <w:spacing w:line="252" w:lineRule="auto"/>
            </w:pPr>
            <w:r>
              <w:rPr>
                <w:b/>
                <w:bCs/>
                <w:color w:val="1F4E79"/>
                <w:sz w:val="20"/>
                <w:szCs w:val="20"/>
              </w:rPr>
              <w:t>Period</w:t>
            </w:r>
          </w:p>
        </w:tc>
        <w:tc>
          <w:tcPr>
            <w:tcW w:w="525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0DB7D95B" w14:textId="77777777" w:rsidR="00FB5224" w:rsidRDefault="00000000">
            <w:pPr>
              <w:keepNext/>
              <w:spacing w:line="252" w:lineRule="auto"/>
            </w:pPr>
            <w:r>
              <w:rPr>
                <w:b/>
                <w:bCs/>
                <w:color w:val="1F4E79"/>
                <w:sz w:val="20"/>
                <w:szCs w:val="20"/>
              </w:rPr>
              <w:t>Main developments</w:t>
            </w:r>
          </w:p>
        </w:tc>
        <w:tc>
          <w:tcPr>
            <w:tcW w:w="2526"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611A2158" w14:textId="77777777" w:rsidR="00FB5224" w:rsidRDefault="00000000">
            <w:pPr>
              <w:keepNext/>
              <w:spacing w:line="252" w:lineRule="auto"/>
            </w:pPr>
            <w:r>
              <w:rPr>
                <w:b/>
                <w:bCs/>
                <w:color w:val="1F4E79"/>
                <w:sz w:val="20"/>
                <w:szCs w:val="20"/>
              </w:rPr>
              <w:t>Relevance to GDP and FCE</w:t>
            </w:r>
          </w:p>
        </w:tc>
      </w:tr>
      <w:tr w:rsidR="00FB5224" w14:paraId="6459538F" w14:textId="77777777">
        <w:trPr>
          <w:cantSplit/>
        </w:trPr>
        <w:tc>
          <w:tcPr>
            <w:tcW w:w="125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78539F4F" w14:textId="77777777" w:rsidR="00FB5224" w:rsidRDefault="00000000">
            <w:pPr>
              <w:keepNext/>
              <w:spacing w:line="252" w:lineRule="auto"/>
            </w:pPr>
            <w:r>
              <w:rPr>
                <w:b/>
                <w:bCs/>
                <w:sz w:val="20"/>
                <w:szCs w:val="20"/>
              </w:rPr>
              <w:t>1970–1977</w:t>
            </w:r>
          </w:p>
        </w:tc>
        <w:tc>
          <w:tcPr>
            <w:tcW w:w="525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3B1381B3" w14:textId="77777777" w:rsidR="00FB5224" w:rsidRDefault="00000000">
            <w:pPr>
              <w:keepNext/>
              <w:spacing w:line="252" w:lineRule="auto"/>
            </w:pPr>
            <w:r>
              <w:rPr>
                <w:sz w:val="20"/>
                <w:szCs w:val="20"/>
              </w:rPr>
              <w:t xml:space="preserve">GDP growth slowed from 10% in each of the two years before 1973 to 8% in 1973, while per-capita private consumption rose 9% as the saving rate fell. The 1973 war disrupted activity and </w:t>
            </w:r>
            <w:proofErr w:type="spellStart"/>
            <w:r>
              <w:rPr>
                <w:sz w:val="20"/>
                <w:szCs w:val="20"/>
              </w:rPr>
              <w:t>defense</w:t>
            </w:r>
            <w:proofErr w:type="spellEnd"/>
            <w:r>
              <w:rPr>
                <w:sz w:val="20"/>
                <w:szCs w:val="20"/>
              </w:rPr>
              <w:t xml:space="preserve"> imports rose. Consumer prices rose 56.2% in 1974 and the pound was devalued in November 1974. By 1977 growth was slow and inflation remained high (Bank of Israel, 1973, 1974, 1977).</w:t>
            </w:r>
          </w:p>
        </w:tc>
        <w:tc>
          <w:tcPr>
            <w:tcW w:w="25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76638E5C" w14:textId="77777777" w:rsidR="00FB5224" w:rsidRDefault="00000000">
            <w:pPr>
              <w:keepNext/>
              <w:spacing w:line="252" w:lineRule="auto"/>
            </w:pPr>
            <w:r>
              <w:rPr>
                <w:sz w:val="20"/>
                <w:szCs w:val="20"/>
              </w:rPr>
              <w:t>Consumption behaviour, war-related shocks and high inflation shaped output and expenditure.</w:t>
            </w:r>
          </w:p>
        </w:tc>
      </w:tr>
      <w:tr w:rsidR="00FB5224" w14:paraId="2235EE52" w14:textId="77777777">
        <w:trPr>
          <w:cantSplit/>
        </w:trPr>
        <w:tc>
          <w:tcPr>
            <w:tcW w:w="125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1E783C4" w14:textId="77777777" w:rsidR="00FB5224" w:rsidRDefault="00000000">
            <w:pPr>
              <w:keepNext/>
              <w:spacing w:line="252" w:lineRule="auto"/>
            </w:pPr>
            <w:r>
              <w:rPr>
                <w:b/>
                <w:bCs/>
                <w:sz w:val="20"/>
                <w:szCs w:val="20"/>
              </w:rPr>
              <w:t>1977–1985</w:t>
            </w:r>
          </w:p>
        </w:tc>
        <w:tc>
          <w:tcPr>
            <w:tcW w:w="525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39B6E8D8" w14:textId="77777777" w:rsidR="00FB5224" w:rsidRDefault="00000000">
            <w:pPr>
              <w:keepNext/>
              <w:spacing w:line="252" w:lineRule="auto"/>
            </w:pPr>
            <w:r>
              <w:rPr>
                <w:sz w:val="20"/>
                <w:szCs w:val="20"/>
              </w:rPr>
              <w:t>Inflation kept mounting until the July 1985 stabilization program froze prices and nominal variables and sharply cut the budget deficit, backed by severe monetary restraint. The Bank of Israel judged at the time that the weight of public consumption was too high (Bank of Israel, 1985).</w:t>
            </w:r>
          </w:p>
        </w:tc>
        <w:tc>
          <w:tcPr>
            <w:tcW w:w="25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390F7CDD" w14:textId="77777777" w:rsidR="00FB5224" w:rsidRDefault="00000000">
            <w:pPr>
              <w:keepNext/>
              <w:spacing w:line="252" w:lineRule="auto"/>
            </w:pPr>
            <w:r>
              <w:rPr>
                <w:sz w:val="20"/>
                <w:szCs w:val="20"/>
              </w:rPr>
              <w:t>Government consumption is part of FCE; disinflation changed the policy setting.</w:t>
            </w:r>
          </w:p>
        </w:tc>
      </w:tr>
      <w:tr w:rsidR="00FB5224" w14:paraId="5541BC85" w14:textId="77777777">
        <w:trPr>
          <w:cantSplit/>
        </w:trPr>
        <w:tc>
          <w:tcPr>
            <w:tcW w:w="125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A0496EF" w14:textId="77777777" w:rsidR="00FB5224" w:rsidRDefault="00000000">
            <w:pPr>
              <w:keepNext/>
              <w:spacing w:line="252" w:lineRule="auto"/>
            </w:pPr>
            <w:r>
              <w:rPr>
                <w:b/>
                <w:bCs/>
                <w:sz w:val="20"/>
                <w:szCs w:val="20"/>
              </w:rPr>
              <w:t>1990s</w:t>
            </w:r>
          </w:p>
        </w:tc>
        <w:tc>
          <w:tcPr>
            <w:tcW w:w="525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D1F0BD0" w14:textId="77777777" w:rsidR="00FB5224" w:rsidRDefault="00000000">
            <w:pPr>
              <w:keepNext/>
              <w:spacing w:line="252" w:lineRule="auto"/>
            </w:pPr>
            <w:r>
              <w:rPr>
                <w:sz w:val="20"/>
                <w:szCs w:val="20"/>
              </w:rPr>
              <w:t>Mass immigration from the Soviet Union was the outstanding feature of 1990, and activity was reviving after two years of recession (Bank of Israel, 1990).</w:t>
            </w:r>
          </w:p>
        </w:tc>
        <w:tc>
          <w:tcPr>
            <w:tcW w:w="25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B152538" w14:textId="77777777" w:rsidR="00FB5224" w:rsidRDefault="00000000">
            <w:pPr>
              <w:keepNext/>
              <w:spacing w:line="252" w:lineRule="auto"/>
            </w:pPr>
            <w:r>
              <w:rPr>
                <w:sz w:val="20"/>
                <w:szCs w:val="20"/>
              </w:rPr>
              <w:t>A sudden population increase bears on both output and expenditure.</w:t>
            </w:r>
          </w:p>
        </w:tc>
      </w:tr>
      <w:tr w:rsidR="00FB5224" w14:paraId="29A5FCC0" w14:textId="77777777">
        <w:trPr>
          <w:cantSplit/>
        </w:trPr>
        <w:tc>
          <w:tcPr>
            <w:tcW w:w="125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5EA18BA" w14:textId="77777777" w:rsidR="00FB5224" w:rsidRDefault="00000000">
            <w:pPr>
              <w:keepNext/>
              <w:spacing w:line="252" w:lineRule="auto"/>
            </w:pPr>
            <w:r>
              <w:rPr>
                <w:b/>
                <w:bCs/>
                <w:sz w:val="20"/>
                <w:szCs w:val="20"/>
              </w:rPr>
              <w:t>2000–2003</w:t>
            </w:r>
          </w:p>
        </w:tc>
        <w:tc>
          <w:tcPr>
            <w:tcW w:w="525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0C36C51" w14:textId="77777777" w:rsidR="00FB5224" w:rsidRDefault="00000000">
            <w:pPr>
              <w:keepNext/>
              <w:spacing w:line="252" w:lineRule="auto"/>
            </w:pPr>
            <w:r>
              <w:rPr>
                <w:sz w:val="20"/>
                <w:szCs w:val="20"/>
              </w:rPr>
              <w:t>A recession began in late 2000 that was described as the deepest in Israel’s history. Contributing factors included the global recession from 2001, the tailing off of Soviet immigration, the second intifada and the end of conditions that had helped high-tech start-ups flourish. Growth resumed from mid-2003 (Fischer, 2006).</w:t>
            </w:r>
          </w:p>
        </w:tc>
        <w:tc>
          <w:tcPr>
            <w:tcW w:w="25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341F239D" w14:textId="77777777" w:rsidR="00FB5224" w:rsidRDefault="00000000">
            <w:pPr>
              <w:keepNext/>
              <w:spacing w:line="252" w:lineRule="auto"/>
            </w:pPr>
            <w:r>
              <w:rPr>
                <w:sz w:val="20"/>
                <w:szCs w:val="20"/>
              </w:rPr>
              <w:t>A large output downturn within the sample.</w:t>
            </w:r>
          </w:p>
        </w:tc>
      </w:tr>
      <w:tr w:rsidR="00FB5224" w14:paraId="01186100" w14:textId="77777777">
        <w:trPr>
          <w:cantSplit/>
        </w:trPr>
        <w:tc>
          <w:tcPr>
            <w:tcW w:w="125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FDE2CDC" w14:textId="77777777" w:rsidR="00FB5224" w:rsidRDefault="00000000">
            <w:pPr>
              <w:keepNext/>
              <w:spacing w:line="252" w:lineRule="auto"/>
            </w:pPr>
            <w:r>
              <w:rPr>
                <w:b/>
                <w:bCs/>
                <w:sz w:val="20"/>
                <w:szCs w:val="20"/>
              </w:rPr>
              <w:t>2020–2022</w:t>
            </w:r>
          </w:p>
        </w:tc>
        <w:tc>
          <w:tcPr>
            <w:tcW w:w="525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96BEF54" w14:textId="77777777" w:rsidR="00FB5224" w:rsidRDefault="00000000">
            <w:pPr>
              <w:keepNext/>
              <w:spacing w:line="252" w:lineRule="auto"/>
            </w:pPr>
            <w:r>
              <w:rPr>
                <w:sz w:val="20"/>
                <w:szCs w:val="20"/>
              </w:rPr>
              <w:t>The IMF judged that Israel weathered the pandemic exceptionally well (IMF, 2022).</w:t>
            </w:r>
          </w:p>
        </w:tc>
        <w:tc>
          <w:tcPr>
            <w:tcW w:w="25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CC94992" w14:textId="77777777" w:rsidR="00FB5224" w:rsidRDefault="00000000">
            <w:pPr>
              <w:keepNext/>
              <w:spacing w:line="252" w:lineRule="auto"/>
            </w:pPr>
            <w:r>
              <w:rPr>
                <w:sz w:val="20"/>
                <w:szCs w:val="20"/>
              </w:rPr>
              <w:t>A global shock with a limited reported impact.</w:t>
            </w:r>
          </w:p>
        </w:tc>
      </w:tr>
      <w:tr w:rsidR="00FB5224" w14:paraId="422D61D6" w14:textId="77777777">
        <w:trPr>
          <w:cantSplit/>
        </w:trPr>
        <w:tc>
          <w:tcPr>
            <w:tcW w:w="125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1F4DF353" w14:textId="77777777" w:rsidR="00FB5224" w:rsidRDefault="00000000">
            <w:pPr>
              <w:spacing w:line="252" w:lineRule="auto"/>
            </w:pPr>
            <w:r>
              <w:rPr>
                <w:b/>
                <w:bCs/>
                <w:sz w:val="20"/>
                <w:szCs w:val="20"/>
              </w:rPr>
              <w:t>2023–2025</w:t>
            </w:r>
          </w:p>
        </w:tc>
        <w:tc>
          <w:tcPr>
            <w:tcW w:w="525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0C7C8515" w14:textId="77777777" w:rsidR="00FB5224" w:rsidRDefault="00000000">
            <w:pPr>
              <w:spacing w:line="252" w:lineRule="auto"/>
            </w:pPr>
            <w:r>
              <w:rPr>
                <w:sz w:val="20"/>
                <w:szCs w:val="20"/>
              </w:rPr>
              <w:t>IMF staff reported output growth of 2.9% in 2025 and expected 4.8% in 2026, driven by pent-up private consumption and a rebound in investment while government consumption declines, assuming no renewed hostilities. Public debt rose from 60% of GDP at end-2022 to 68.6% at end-2025 (IMF, 2026a). After the war in the Middle East, the 2026 forecast was revised to 3.5% (IMF, 2026b).</w:t>
            </w:r>
          </w:p>
        </w:tc>
        <w:tc>
          <w:tcPr>
            <w:tcW w:w="252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200A3203" w14:textId="77777777" w:rsidR="00FB5224" w:rsidRDefault="00000000">
            <w:pPr>
              <w:spacing w:line="252" w:lineRule="auto"/>
            </w:pPr>
            <w:r>
              <w:rPr>
                <w:sz w:val="20"/>
                <w:szCs w:val="20"/>
              </w:rPr>
              <w:t>Private and government consumption can move differently within FCE.</w:t>
            </w:r>
          </w:p>
        </w:tc>
      </w:tr>
    </w:tbl>
    <w:p w14:paraId="620F2E89" w14:textId="77777777" w:rsidR="00FB5224" w:rsidRDefault="00FB5224">
      <w:pPr>
        <w:spacing w:after="120"/>
      </w:pPr>
    </w:p>
    <w:p w14:paraId="7B79338E" w14:textId="77777777" w:rsidR="00FB5224" w:rsidRDefault="00000000">
      <w:pPr>
        <w:spacing w:after="140" w:line="300" w:lineRule="auto"/>
        <w:jc w:val="both"/>
      </w:pPr>
      <w:r>
        <w:t xml:space="preserve">Two points connect this background to the analysis. First, wars, inflation episodes and recessions are the kind of shocks that an error-correction framework treats as temporary deviations from a long-run relationship, which is consistent with the equilibrium-correction results in Sections 9 and 10. Second, FCE combines household and government consumption, which the official sources show responding differently to events; the study </w:t>
      </w:r>
      <w:proofErr w:type="spellStart"/>
      <w:r>
        <w:t>analyzes</w:t>
      </w:r>
      <w:proofErr w:type="spellEnd"/>
      <w:r>
        <w:t xml:space="preserve"> the aggregate and does not decompose it.</w:t>
      </w:r>
    </w:p>
    <w:p w14:paraId="73BBBD1A" w14:textId="77777777" w:rsidR="00FB5224" w:rsidRDefault="00000000">
      <w:pPr>
        <w:pStyle w:val="Heading1"/>
        <w:keepNext/>
      </w:pPr>
      <w:r>
        <w:lastRenderedPageBreak/>
        <w:t>4. Descriptive Statistics</w:t>
      </w:r>
    </w:p>
    <w:p w14:paraId="04528BA8" w14:textId="77777777" w:rsidR="00FB5224" w:rsidRDefault="00000000">
      <w:pPr>
        <w:keepNext/>
        <w:spacing w:before="160" w:after="80"/>
      </w:pPr>
      <w:r>
        <w:rPr>
          <w:b/>
          <w:bCs/>
          <w:i/>
          <w:iCs/>
          <w:color w:val="1F4E79"/>
          <w:sz w:val="21"/>
          <w:szCs w:val="21"/>
        </w:rPr>
        <w:t>Table 3. Descriptive statistics of the logged series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2900"/>
        <w:gridCol w:w="2900"/>
      </w:tblGrid>
      <w:tr w:rsidR="00FB5224" w14:paraId="110FF769" w14:textId="77777777">
        <w:trPr>
          <w:tblHeader/>
        </w:trPr>
        <w:tc>
          <w:tcPr>
            <w:tcW w:w="3226"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6DC44D39" w14:textId="77777777" w:rsidR="00FB5224" w:rsidRDefault="00000000">
            <w:pPr>
              <w:keepNext/>
              <w:spacing w:line="252" w:lineRule="auto"/>
            </w:pPr>
            <w:r>
              <w:rPr>
                <w:b/>
                <w:bCs/>
                <w:color w:val="1F4E79"/>
                <w:sz w:val="20"/>
                <w:szCs w:val="20"/>
              </w:rPr>
              <w:t>Statistic</w:t>
            </w:r>
          </w:p>
        </w:tc>
        <w:tc>
          <w:tcPr>
            <w:tcW w:w="29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1ED36F75" w14:textId="77777777" w:rsidR="00FB5224" w:rsidRDefault="00000000">
            <w:pPr>
              <w:keepNext/>
              <w:spacing w:line="252" w:lineRule="auto"/>
              <w:jc w:val="center"/>
            </w:pPr>
            <w:r>
              <w:rPr>
                <w:b/>
                <w:bCs/>
                <w:color w:val="1F4E79"/>
                <w:sz w:val="20"/>
                <w:szCs w:val="20"/>
              </w:rPr>
              <w:t>LFCE</w:t>
            </w:r>
          </w:p>
        </w:tc>
        <w:tc>
          <w:tcPr>
            <w:tcW w:w="29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306796C6" w14:textId="77777777" w:rsidR="00FB5224" w:rsidRDefault="00000000">
            <w:pPr>
              <w:keepNext/>
              <w:spacing w:line="252" w:lineRule="auto"/>
              <w:jc w:val="center"/>
            </w:pPr>
            <w:r>
              <w:rPr>
                <w:b/>
                <w:bCs/>
                <w:color w:val="1F4E79"/>
                <w:sz w:val="20"/>
                <w:szCs w:val="20"/>
              </w:rPr>
              <w:t>LGDP</w:t>
            </w:r>
          </w:p>
        </w:tc>
      </w:tr>
      <w:tr w:rsidR="00FB5224" w14:paraId="0D60D5A6" w14:textId="77777777">
        <w:trPr>
          <w:cantSplit/>
        </w:trPr>
        <w:tc>
          <w:tcPr>
            <w:tcW w:w="32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C932394" w14:textId="77777777" w:rsidR="00FB5224" w:rsidRDefault="00000000">
            <w:pPr>
              <w:keepNext/>
              <w:spacing w:line="252" w:lineRule="auto"/>
            </w:pPr>
            <w:r>
              <w:rPr>
                <w:b/>
                <w:bCs/>
                <w:sz w:val="20"/>
                <w:szCs w:val="20"/>
              </w:rPr>
              <w:t>Mean</w:t>
            </w:r>
          </w:p>
        </w:tc>
        <w:tc>
          <w:tcPr>
            <w:tcW w:w="29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3C8B398" w14:textId="77777777" w:rsidR="00FB5224" w:rsidRDefault="00000000">
            <w:pPr>
              <w:keepNext/>
              <w:spacing w:line="252" w:lineRule="auto"/>
              <w:jc w:val="center"/>
            </w:pPr>
            <w:r>
              <w:rPr>
                <w:sz w:val="20"/>
                <w:szCs w:val="20"/>
              </w:rPr>
              <w:t>24.98532</w:t>
            </w:r>
          </w:p>
        </w:tc>
        <w:tc>
          <w:tcPr>
            <w:tcW w:w="29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59E84FD" w14:textId="77777777" w:rsidR="00FB5224" w:rsidRDefault="00000000">
            <w:pPr>
              <w:keepNext/>
              <w:spacing w:line="252" w:lineRule="auto"/>
              <w:jc w:val="center"/>
            </w:pPr>
            <w:r>
              <w:rPr>
                <w:sz w:val="20"/>
                <w:szCs w:val="20"/>
              </w:rPr>
              <w:t>25.22509</w:t>
            </w:r>
          </w:p>
        </w:tc>
      </w:tr>
      <w:tr w:rsidR="00FB5224" w14:paraId="22E83EC1" w14:textId="77777777">
        <w:trPr>
          <w:cantSplit/>
        </w:trPr>
        <w:tc>
          <w:tcPr>
            <w:tcW w:w="32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6F0FED2" w14:textId="77777777" w:rsidR="00FB5224" w:rsidRDefault="00000000">
            <w:pPr>
              <w:keepNext/>
              <w:spacing w:line="252" w:lineRule="auto"/>
            </w:pPr>
            <w:r>
              <w:rPr>
                <w:b/>
                <w:bCs/>
                <w:sz w:val="20"/>
                <w:szCs w:val="20"/>
              </w:rPr>
              <w:t>Standard deviation</w:t>
            </w:r>
          </w:p>
        </w:tc>
        <w:tc>
          <w:tcPr>
            <w:tcW w:w="29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766C9CFF" w14:textId="77777777" w:rsidR="00FB5224" w:rsidRDefault="00000000">
            <w:pPr>
              <w:keepNext/>
              <w:spacing w:line="252" w:lineRule="auto"/>
              <w:jc w:val="center"/>
            </w:pPr>
            <w:r>
              <w:rPr>
                <w:sz w:val="20"/>
                <w:szCs w:val="20"/>
              </w:rPr>
              <w:t>1.198774</w:t>
            </w:r>
          </w:p>
        </w:tc>
        <w:tc>
          <w:tcPr>
            <w:tcW w:w="29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3FCFD341" w14:textId="77777777" w:rsidR="00FB5224" w:rsidRDefault="00000000">
            <w:pPr>
              <w:keepNext/>
              <w:spacing w:line="252" w:lineRule="auto"/>
              <w:jc w:val="center"/>
            </w:pPr>
            <w:r>
              <w:rPr>
                <w:sz w:val="20"/>
                <w:szCs w:val="20"/>
              </w:rPr>
              <w:t>1.245600</w:t>
            </w:r>
          </w:p>
        </w:tc>
      </w:tr>
      <w:tr w:rsidR="00FB5224" w14:paraId="141354E1" w14:textId="77777777">
        <w:trPr>
          <w:cantSplit/>
        </w:trPr>
        <w:tc>
          <w:tcPr>
            <w:tcW w:w="32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2BC394C" w14:textId="77777777" w:rsidR="00FB5224" w:rsidRDefault="00000000">
            <w:pPr>
              <w:keepNext/>
              <w:spacing w:line="252" w:lineRule="auto"/>
            </w:pPr>
            <w:r>
              <w:rPr>
                <w:b/>
                <w:bCs/>
                <w:sz w:val="20"/>
                <w:szCs w:val="20"/>
              </w:rPr>
              <w:t>Skewness</w:t>
            </w:r>
          </w:p>
        </w:tc>
        <w:tc>
          <w:tcPr>
            <w:tcW w:w="29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9EEE184" w14:textId="77777777" w:rsidR="00FB5224" w:rsidRDefault="00000000">
            <w:pPr>
              <w:keepNext/>
              <w:spacing w:line="252" w:lineRule="auto"/>
              <w:jc w:val="center"/>
            </w:pPr>
            <w:r>
              <w:rPr>
                <w:sz w:val="20"/>
                <w:szCs w:val="20"/>
              </w:rPr>
              <w:t>−0.359077</w:t>
            </w:r>
          </w:p>
        </w:tc>
        <w:tc>
          <w:tcPr>
            <w:tcW w:w="29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C4E54AD" w14:textId="77777777" w:rsidR="00FB5224" w:rsidRDefault="00000000">
            <w:pPr>
              <w:keepNext/>
              <w:spacing w:line="252" w:lineRule="auto"/>
              <w:jc w:val="center"/>
            </w:pPr>
            <w:r>
              <w:rPr>
                <w:sz w:val="20"/>
                <w:szCs w:val="20"/>
              </w:rPr>
              <w:t>−0.331312</w:t>
            </w:r>
          </w:p>
        </w:tc>
      </w:tr>
      <w:tr w:rsidR="00FB5224" w14:paraId="7DDFD2C5" w14:textId="77777777">
        <w:trPr>
          <w:cantSplit/>
        </w:trPr>
        <w:tc>
          <w:tcPr>
            <w:tcW w:w="32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4AC0219" w14:textId="77777777" w:rsidR="00FB5224" w:rsidRDefault="00000000">
            <w:pPr>
              <w:keepNext/>
              <w:spacing w:line="252" w:lineRule="auto"/>
            </w:pPr>
            <w:r>
              <w:rPr>
                <w:b/>
                <w:bCs/>
                <w:sz w:val="20"/>
                <w:szCs w:val="20"/>
              </w:rPr>
              <w:t>Kurtosis</w:t>
            </w:r>
          </w:p>
        </w:tc>
        <w:tc>
          <w:tcPr>
            <w:tcW w:w="29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5D94211" w14:textId="77777777" w:rsidR="00FB5224" w:rsidRDefault="00000000">
            <w:pPr>
              <w:keepNext/>
              <w:spacing w:line="252" w:lineRule="auto"/>
              <w:jc w:val="center"/>
            </w:pPr>
            <w:r>
              <w:rPr>
                <w:sz w:val="20"/>
                <w:szCs w:val="20"/>
              </w:rPr>
              <w:t>2.070090</w:t>
            </w:r>
          </w:p>
        </w:tc>
        <w:tc>
          <w:tcPr>
            <w:tcW w:w="29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AC83681" w14:textId="77777777" w:rsidR="00FB5224" w:rsidRDefault="00000000">
            <w:pPr>
              <w:keepNext/>
              <w:spacing w:line="252" w:lineRule="auto"/>
              <w:jc w:val="center"/>
            </w:pPr>
            <w:r>
              <w:rPr>
                <w:sz w:val="20"/>
                <w:szCs w:val="20"/>
              </w:rPr>
              <w:t>2.020363</w:t>
            </w:r>
          </w:p>
        </w:tc>
      </w:tr>
      <w:tr w:rsidR="00FB5224" w14:paraId="4711686E" w14:textId="77777777">
        <w:trPr>
          <w:cantSplit/>
        </w:trPr>
        <w:tc>
          <w:tcPr>
            <w:tcW w:w="322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0EA5BC97" w14:textId="77777777" w:rsidR="00FB5224" w:rsidRDefault="00000000">
            <w:pPr>
              <w:spacing w:line="252" w:lineRule="auto"/>
            </w:pPr>
            <w:r>
              <w:rPr>
                <w:b/>
                <w:bCs/>
                <w:sz w:val="20"/>
                <w:szCs w:val="20"/>
              </w:rPr>
              <w:t>Jarque–Bera p-value</w:t>
            </w:r>
          </w:p>
        </w:tc>
        <w:tc>
          <w:tcPr>
            <w:tcW w:w="29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0740AB6D" w14:textId="77777777" w:rsidR="00FB5224" w:rsidRDefault="00000000">
            <w:pPr>
              <w:spacing w:line="252" w:lineRule="auto"/>
              <w:jc w:val="center"/>
            </w:pPr>
            <w:r>
              <w:rPr>
                <w:sz w:val="20"/>
                <w:szCs w:val="20"/>
              </w:rPr>
              <w:t>0.199776</w:t>
            </w:r>
          </w:p>
        </w:tc>
        <w:tc>
          <w:tcPr>
            <w:tcW w:w="29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56FD1B69" w14:textId="77777777" w:rsidR="00FB5224" w:rsidRDefault="00000000">
            <w:pPr>
              <w:spacing w:line="252" w:lineRule="auto"/>
              <w:jc w:val="center"/>
            </w:pPr>
            <w:r>
              <w:rPr>
                <w:sz w:val="20"/>
                <w:szCs w:val="20"/>
              </w:rPr>
              <w:t>0.195560</w:t>
            </w:r>
          </w:p>
        </w:tc>
      </w:tr>
    </w:tbl>
    <w:p w14:paraId="01E02346" w14:textId="77777777" w:rsidR="00FB5224" w:rsidRDefault="00FB522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B5224" w14:paraId="73D37DD9" w14:textId="77777777">
        <w:tc>
          <w:tcPr>
            <w:tcW w:w="9026" w:type="dxa"/>
            <w:gridSpan w:val="2"/>
            <w:tcBorders>
              <w:top w:val="single" w:sz="12" w:space="0" w:color="1F4E79"/>
              <w:left w:val="none" w:sz="0" w:space="0" w:color="FFFFFF"/>
              <w:bottom w:val="single" w:sz="6" w:space="0" w:color="1F4E79"/>
              <w:right w:val="none" w:sz="0" w:space="0" w:color="FFFFFF"/>
            </w:tcBorders>
            <w:shd w:val="clear" w:color="auto" w:fill="1F4E79"/>
            <w:tcMar>
              <w:top w:w="70" w:type="dxa"/>
              <w:left w:w="110" w:type="dxa"/>
              <w:bottom w:w="70" w:type="dxa"/>
              <w:right w:w="110" w:type="dxa"/>
            </w:tcMar>
          </w:tcPr>
          <w:p w14:paraId="0EB5E9B5" w14:textId="77777777" w:rsidR="00FB5224" w:rsidRDefault="00000000">
            <w:pPr>
              <w:keepNext/>
            </w:pPr>
            <w:r>
              <w:rPr>
                <w:b/>
                <w:bCs/>
                <w:color w:val="FFFFFF"/>
                <w:sz w:val="21"/>
                <w:szCs w:val="21"/>
              </w:rPr>
              <w:t>Jarque–Bera normality test (descriptive level series)</w:t>
            </w:r>
          </w:p>
        </w:tc>
      </w:tr>
      <w:tr w:rsidR="00FB5224" w14:paraId="61AA2864"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138FEE69" w14:textId="77777777" w:rsidR="00FB5224" w:rsidRDefault="00000000">
            <w:pPr>
              <w:keepNext/>
              <w:spacing w:line="252" w:lineRule="auto"/>
            </w:pPr>
            <w:r>
              <w:rPr>
                <w:b/>
                <w:bCs/>
                <w:color w:val="1F4E79"/>
                <w:sz w:val="20"/>
                <w:szCs w:val="20"/>
              </w:rPr>
              <w:t>Purpose</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3BA004C" w14:textId="77777777" w:rsidR="00FB5224" w:rsidRDefault="00000000">
            <w:pPr>
              <w:keepNext/>
              <w:spacing w:line="252" w:lineRule="auto"/>
            </w:pPr>
            <w:r>
              <w:rPr>
                <w:sz w:val="20"/>
                <w:szCs w:val="20"/>
              </w:rPr>
              <w:t>To assess whether the distribution of each series is consistent with normality.</w:t>
            </w:r>
          </w:p>
        </w:tc>
      </w:tr>
      <w:tr w:rsidR="00FB5224" w14:paraId="29873DDF"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57DC7ACA" w14:textId="77777777" w:rsidR="00FB5224" w:rsidRDefault="00000000">
            <w:pPr>
              <w:keepNext/>
              <w:spacing w:line="252" w:lineRule="auto"/>
            </w:pPr>
            <w:r>
              <w:rPr>
                <w:b/>
                <w:bCs/>
                <w:color w:val="1F4E79"/>
                <w:sz w:val="20"/>
                <w:szCs w:val="20"/>
              </w:rPr>
              <w:t>Null hypothesis</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05F77E4" w14:textId="77777777" w:rsidR="00FB5224" w:rsidRDefault="00000000">
            <w:pPr>
              <w:keepNext/>
              <w:spacing w:line="252" w:lineRule="auto"/>
            </w:pPr>
            <w:r>
              <w:rPr>
                <w:sz w:val="20"/>
                <w:szCs w:val="20"/>
              </w:rPr>
              <w:t>The series is normally distributed.</w:t>
            </w:r>
          </w:p>
        </w:tc>
      </w:tr>
      <w:tr w:rsidR="00FB5224" w14:paraId="7E588D12"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445D57E6" w14:textId="77777777" w:rsidR="00FB5224" w:rsidRDefault="00000000">
            <w:pPr>
              <w:keepNext/>
              <w:spacing w:line="252" w:lineRule="auto"/>
            </w:pPr>
            <w:r>
              <w:rPr>
                <w:b/>
                <w:bCs/>
                <w:color w:val="1F4E79"/>
                <w:sz w:val="20"/>
                <w:szCs w:val="20"/>
              </w:rPr>
              <w:t>Result</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C01DBC2" w14:textId="77777777" w:rsidR="00FB5224" w:rsidRDefault="00000000">
            <w:pPr>
              <w:keepNext/>
              <w:spacing w:line="252" w:lineRule="auto"/>
            </w:pPr>
            <w:r>
              <w:rPr>
                <w:sz w:val="20"/>
                <w:szCs w:val="20"/>
              </w:rPr>
              <w:t>p = 0.199776 (LFCE) and p = 0.195560 (LGDP).</w:t>
            </w:r>
          </w:p>
        </w:tc>
      </w:tr>
      <w:tr w:rsidR="00FB5224" w14:paraId="6BAB0C1B"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2628E573" w14:textId="77777777" w:rsidR="00FB5224" w:rsidRDefault="00000000">
            <w:pPr>
              <w:keepNext/>
              <w:spacing w:line="252" w:lineRule="auto"/>
            </w:pPr>
            <w:r>
              <w:rPr>
                <w:b/>
                <w:bCs/>
                <w:color w:val="1F4E79"/>
                <w:sz w:val="20"/>
                <w:szCs w:val="20"/>
              </w:rPr>
              <w:t>Decision</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9F734A3" w14:textId="77777777" w:rsidR="00FB5224" w:rsidRDefault="00000000">
            <w:pPr>
              <w:keepNext/>
              <w:spacing w:line="252" w:lineRule="auto"/>
            </w:pPr>
            <w:r>
              <w:rPr>
                <w:sz w:val="20"/>
                <w:szCs w:val="20"/>
              </w:rPr>
              <w:t>Both p-values exceed 0.05; normality is not rejected.</w:t>
            </w:r>
          </w:p>
        </w:tc>
      </w:tr>
      <w:tr w:rsidR="00FB5224" w14:paraId="7C977F00" w14:textId="77777777">
        <w:trPr>
          <w:cantSplit/>
        </w:trPr>
        <w:tc>
          <w:tcPr>
            <w:tcW w:w="1900" w:type="dxa"/>
            <w:tcBorders>
              <w:top w:val="single" w:sz="4" w:space="0" w:color="BFBFBF"/>
              <w:left w:val="none" w:sz="0" w:space="0" w:color="FFFFFF"/>
              <w:bottom w:val="single" w:sz="12" w:space="0" w:color="1F4E79"/>
              <w:right w:val="none" w:sz="0" w:space="0" w:color="FFFFFF"/>
            </w:tcBorders>
            <w:shd w:val="clear" w:color="auto" w:fill="EAF1F8"/>
            <w:tcMar>
              <w:top w:w="70" w:type="dxa"/>
              <w:left w:w="110" w:type="dxa"/>
              <w:bottom w:w="70" w:type="dxa"/>
              <w:right w:w="110" w:type="dxa"/>
            </w:tcMar>
            <w:vAlign w:val="center"/>
          </w:tcPr>
          <w:p w14:paraId="1BFC5F2C" w14:textId="77777777" w:rsidR="00FB5224" w:rsidRDefault="00000000">
            <w:pPr>
              <w:spacing w:line="252" w:lineRule="auto"/>
            </w:pPr>
            <w:r>
              <w:rPr>
                <w:b/>
                <w:bCs/>
                <w:color w:val="1F4E79"/>
                <w:sz w:val="20"/>
                <w:szCs w:val="20"/>
              </w:rPr>
              <w:t>Implication</w:t>
            </w:r>
          </w:p>
        </w:tc>
        <w:tc>
          <w:tcPr>
            <w:tcW w:w="712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3BDBDC19" w14:textId="77777777" w:rsidR="00FB5224" w:rsidRDefault="00000000">
            <w:pPr>
              <w:spacing w:line="252" w:lineRule="auto"/>
            </w:pPr>
            <w:r>
              <w:rPr>
                <w:sz w:val="20"/>
                <w:szCs w:val="20"/>
              </w:rPr>
              <w:t>Both series show mild negative skewness and kurtosis below 3. This is purely descriptive: it says nothing about stationarity or cointegration.</w:t>
            </w:r>
          </w:p>
        </w:tc>
      </w:tr>
    </w:tbl>
    <w:p w14:paraId="5AF00D9F" w14:textId="77777777" w:rsidR="00FB5224" w:rsidRDefault="00000000">
      <w:pPr>
        <w:pBdr>
          <w:left w:val="single" w:sz="24" w:space="8" w:color="2E75B6"/>
        </w:pBdr>
        <w:shd w:val="clear" w:color="auto" w:fill="EAF1F8"/>
        <w:spacing w:before="80" w:after="160" w:line="276" w:lineRule="auto"/>
        <w:ind w:left="200" w:right="100"/>
      </w:pPr>
      <w:r>
        <w:rPr>
          <w:b/>
          <w:bCs/>
          <w:color w:val="1F4E79"/>
        </w:rPr>
        <w:t xml:space="preserve">Key distinction. </w:t>
      </w:r>
      <w:r>
        <w:t>Stationarity is not normality. The ADF test (Section 5) examines unit roots; the Jarque–Bera test examines distributional shape.</w:t>
      </w:r>
    </w:p>
    <w:p w14:paraId="464778E2" w14:textId="77777777" w:rsidR="00FB5224" w:rsidRDefault="00000000">
      <w:pPr>
        <w:pStyle w:val="Heading1"/>
        <w:keepNext/>
      </w:pPr>
      <w:r>
        <w:t>5. ADF Unit-Root Tests</w:t>
      </w:r>
    </w:p>
    <w:p w14:paraId="3EF55410" w14:textId="77777777" w:rsidR="00FB5224" w:rsidRDefault="00000000">
      <w:pPr>
        <w:spacing w:after="140" w:line="300" w:lineRule="auto"/>
        <w:jc w:val="both"/>
      </w:pPr>
      <w:r>
        <w:t xml:space="preserve">A </w:t>
      </w:r>
      <w:r>
        <w:rPr>
          <w:b/>
          <w:bCs/>
        </w:rPr>
        <w:t>unit root</w:t>
      </w:r>
      <w:r>
        <w:t xml:space="preserve"> means shocks to a series have permanent effects, so the series wanders without reverting to a fixed mean. The ADF test estimates a regression of the form</w:t>
      </w:r>
    </w:p>
    <w:p w14:paraId="64A6BB1C" w14:textId="77777777" w:rsidR="00FB5224" w:rsidRDefault="00000000">
      <w:pPr>
        <w:tabs>
          <w:tab w:val="center" w:pos="4513"/>
          <w:tab w:val="right" w:pos="9026"/>
        </w:tabs>
        <w:spacing w:before="100" w:after="180"/>
      </w:pPr>
      <w:r>
        <w:tab/>
      </w:r>
      <w:proofErr w:type="spellStart"/>
      <w:r>
        <w:rPr>
          <w:i/>
          <w:iCs/>
        </w:rPr>
        <w:t>ΔY</w:t>
      </w:r>
      <w:r>
        <w:rPr>
          <w:i/>
          <w:iCs/>
          <w:vertAlign w:val="subscript"/>
        </w:rPr>
        <w:t>t</w:t>
      </w:r>
      <w:proofErr w:type="spellEnd"/>
      <w:r>
        <w:rPr>
          <w:i/>
          <w:iCs/>
        </w:rPr>
        <w:t xml:space="preserve"> = α + γY</w:t>
      </w:r>
      <w:r>
        <w:rPr>
          <w:i/>
          <w:iCs/>
          <w:vertAlign w:val="subscript"/>
        </w:rPr>
        <w:t>t−1</w:t>
      </w:r>
      <w:r>
        <w:rPr>
          <w:i/>
          <w:iCs/>
        </w:rPr>
        <w:t xml:space="preserve"> + Σ </w:t>
      </w:r>
      <w:proofErr w:type="spellStart"/>
      <w:r>
        <w:rPr>
          <w:i/>
          <w:iCs/>
        </w:rPr>
        <w:t>δ</w:t>
      </w:r>
      <w:r>
        <w:rPr>
          <w:i/>
          <w:iCs/>
          <w:vertAlign w:val="subscript"/>
        </w:rPr>
        <w:t>i</w:t>
      </w:r>
      <w:r>
        <w:rPr>
          <w:i/>
          <w:iCs/>
        </w:rPr>
        <w:t>ΔY</w:t>
      </w:r>
      <w:r>
        <w:rPr>
          <w:i/>
          <w:iCs/>
          <w:vertAlign w:val="subscript"/>
        </w:rPr>
        <w:t>t−i</w:t>
      </w:r>
      <w:proofErr w:type="spellEnd"/>
      <w:r>
        <w:rPr>
          <w:i/>
          <w:iCs/>
        </w:rPr>
        <w:t xml:space="preserve"> + </w:t>
      </w:r>
      <w:proofErr w:type="spellStart"/>
      <w:r>
        <w:rPr>
          <w:i/>
          <w:iCs/>
        </w:rPr>
        <w:t>ε</w:t>
      </w:r>
      <w:r>
        <w:rPr>
          <w:i/>
          <w:iCs/>
          <w:vertAlign w:val="subscript"/>
        </w:rPr>
        <w:t>t</w:t>
      </w:r>
      <w:proofErr w:type="spellEnd"/>
      <w:r>
        <w:tab/>
        <w:t>(1)</w:t>
      </w:r>
    </w:p>
    <w:p w14:paraId="6B64FE15" w14:textId="77777777" w:rsidR="00FB5224" w:rsidRDefault="00000000">
      <w:pPr>
        <w:spacing w:after="140" w:line="300" w:lineRule="auto"/>
        <w:jc w:val="both"/>
      </w:pPr>
      <w:r>
        <w:t>and tests whether γ = 0. Tests were run with a constant, automatic lag selection by AIC and a maximum lag of 10, on levels and on first differences.</w:t>
      </w:r>
    </w:p>
    <w:p w14:paraId="1C744E76" w14:textId="77777777" w:rsidR="00FB5224" w:rsidRDefault="00000000">
      <w:pPr>
        <w:keepNext/>
        <w:spacing w:before="160" w:after="80"/>
      </w:pPr>
      <w:r>
        <w:rPr>
          <w:b/>
          <w:bCs/>
          <w:i/>
          <w:iCs/>
          <w:color w:val="1F4E79"/>
          <w:sz w:val="21"/>
          <w:szCs w:val="21"/>
        </w:rPr>
        <w:t>Table 4. ADF test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1300"/>
        <w:gridCol w:w="1700"/>
        <w:gridCol w:w="1500"/>
        <w:gridCol w:w="1726"/>
      </w:tblGrid>
      <w:tr w:rsidR="00FB5224" w14:paraId="2F5A970C" w14:textId="77777777">
        <w:trPr>
          <w:tblHeader/>
        </w:trPr>
        <w:tc>
          <w:tcPr>
            <w:tcW w:w="12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34F2CED3" w14:textId="77777777" w:rsidR="00FB5224" w:rsidRDefault="00000000">
            <w:pPr>
              <w:keepNext/>
              <w:spacing w:line="252" w:lineRule="auto"/>
            </w:pPr>
            <w:r>
              <w:rPr>
                <w:b/>
                <w:bCs/>
                <w:color w:val="1F4E79"/>
                <w:sz w:val="20"/>
                <w:szCs w:val="20"/>
              </w:rPr>
              <w:t>Series</w:t>
            </w:r>
          </w:p>
        </w:tc>
        <w:tc>
          <w:tcPr>
            <w:tcW w:w="16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61F532D7" w14:textId="77777777" w:rsidR="00FB5224" w:rsidRDefault="00000000">
            <w:pPr>
              <w:keepNext/>
              <w:spacing w:line="252" w:lineRule="auto"/>
              <w:jc w:val="center"/>
            </w:pPr>
            <w:r>
              <w:rPr>
                <w:b/>
                <w:bCs/>
                <w:color w:val="1F4E79"/>
                <w:sz w:val="20"/>
                <w:szCs w:val="20"/>
              </w:rPr>
              <w:t>Level ADF</w:t>
            </w:r>
          </w:p>
        </w:tc>
        <w:tc>
          <w:tcPr>
            <w:tcW w:w="13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16AC592B" w14:textId="77777777" w:rsidR="00FB5224" w:rsidRDefault="00000000">
            <w:pPr>
              <w:keepNext/>
              <w:spacing w:line="252" w:lineRule="auto"/>
              <w:jc w:val="center"/>
            </w:pPr>
            <w:r>
              <w:rPr>
                <w:b/>
                <w:bCs/>
                <w:color w:val="1F4E79"/>
                <w:sz w:val="20"/>
                <w:szCs w:val="20"/>
              </w:rPr>
              <w:t>Level p</w:t>
            </w:r>
          </w:p>
        </w:tc>
        <w:tc>
          <w:tcPr>
            <w:tcW w:w="17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6CE59225" w14:textId="77777777" w:rsidR="00FB5224" w:rsidRDefault="00000000">
            <w:pPr>
              <w:keepNext/>
              <w:spacing w:line="252" w:lineRule="auto"/>
              <w:jc w:val="center"/>
            </w:pPr>
            <w:r>
              <w:rPr>
                <w:b/>
                <w:bCs/>
                <w:color w:val="1F4E79"/>
                <w:sz w:val="20"/>
                <w:szCs w:val="20"/>
              </w:rPr>
              <w:t>1st-diff. ADF</w:t>
            </w:r>
          </w:p>
        </w:tc>
        <w:tc>
          <w:tcPr>
            <w:tcW w:w="15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3E24993E" w14:textId="77777777" w:rsidR="00FB5224" w:rsidRDefault="00000000">
            <w:pPr>
              <w:keepNext/>
              <w:spacing w:line="252" w:lineRule="auto"/>
              <w:jc w:val="center"/>
            </w:pPr>
            <w:r>
              <w:rPr>
                <w:b/>
                <w:bCs/>
                <w:color w:val="1F4E79"/>
                <w:sz w:val="20"/>
                <w:szCs w:val="20"/>
              </w:rPr>
              <w:t>1st-diff. p</w:t>
            </w:r>
          </w:p>
        </w:tc>
        <w:tc>
          <w:tcPr>
            <w:tcW w:w="1726"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1D17A67C" w14:textId="77777777" w:rsidR="00FB5224" w:rsidRDefault="00000000">
            <w:pPr>
              <w:keepNext/>
              <w:spacing w:line="252" w:lineRule="auto"/>
              <w:jc w:val="center"/>
            </w:pPr>
            <w:r>
              <w:rPr>
                <w:b/>
                <w:bCs/>
                <w:color w:val="1F4E79"/>
                <w:sz w:val="20"/>
                <w:szCs w:val="20"/>
              </w:rPr>
              <w:t>Conclusion</w:t>
            </w:r>
          </w:p>
        </w:tc>
      </w:tr>
      <w:tr w:rsidR="00FB5224" w14:paraId="53CC6EA4" w14:textId="77777777">
        <w:trPr>
          <w:cantSplit/>
        </w:trPr>
        <w:tc>
          <w:tcPr>
            <w:tcW w:w="12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1618372" w14:textId="77777777" w:rsidR="00FB5224" w:rsidRDefault="00000000">
            <w:pPr>
              <w:keepNext/>
              <w:spacing w:line="252" w:lineRule="auto"/>
            </w:pPr>
            <w:r>
              <w:rPr>
                <w:b/>
                <w:bCs/>
                <w:sz w:val="20"/>
                <w:szCs w:val="20"/>
              </w:rPr>
              <w:t>LGDP</w:t>
            </w:r>
          </w:p>
        </w:tc>
        <w:tc>
          <w:tcPr>
            <w:tcW w:w="16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4FC8F52" w14:textId="77777777" w:rsidR="00FB5224" w:rsidRDefault="00000000">
            <w:pPr>
              <w:keepNext/>
              <w:spacing w:line="252" w:lineRule="auto"/>
              <w:jc w:val="center"/>
            </w:pPr>
            <w:r>
              <w:rPr>
                <w:sz w:val="20"/>
                <w:szCs w:val="20"/>
              </w:rPr>
              <w:t>−1.864445</w:t>
            </w:r>
          </w:p>
        </w:tc>
        <w:tc>
          <w:tcPr>
            <w:tcW w:w="13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78130DA2" w14:textId="77777777" w:rsidR="00FB5224" w:rsidRDefault="00000000">
            <w:pPr>
              <w:keepNext/>
              <w:spacing w:line="252" w:lineRule="auto"/>
              <w:jc w:val="center"/>
            </w:pPr>
            <w:r>
              <w:rPr>
                <w:sz w:val="20"/>
                <w:szCs w:val="20"/>
              </w:rPr>
              <w:t>0.3463</w:t>
            </w:r>
          </w:p>
        </w:tc>
        <w:tc>
          <w:tcPr>
            <w:tcW w:w="1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DFEFFAF" w14:textId="77777777" w:rsidR="00FB5224" w:rsidRDefault="00000000">
            <w:pPr>
              <w:keepNext/>
              <w:spacing w:line="252" w:lineRule="auto"/>
              <w:jc w:val="center"/>
            </w:pPr>
            <w:r>
              <w:rPr>
                <w:sz w:val="20"/>
                <w:szCs w:val="20"/>
              </w:rPr>
              <w:t>−5.721406</w:t>
            </w:r>
          </w:p>
        </w:tc>
        <w:tc>
          <w:tcPr>
            <w:tcW w:w="15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AA38B8F" w14:textId="77777777" w:rsidR="00FB5224" w:rsidRDefault="00000000">
            <w:pPr>
              <w:keepNext/>
              <w:spacing w:line="252" w:lineRule="auto"/>
              <w:jc w:val="center"/>
            </w:pPr>
            <w:r>
              <w:rPr>
                <w:sz w:val="20"/>
                <w:szCs w:val="20"/>
              </w:rPr>
              <w:t>0.0000</w:t>
            </w:r>
          </w:p>
        </w:tc>
        <w:tc>
          <w:tcPr>
            <w:tcW w:w="17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3F2D9C28" w14:textId="77777777" w:rsidR="00FB5224" w:rsidRDefault="00000000">
            <w:pPr>
              <w:keepNext/>
              <w:spacing w:line="252" w:lineRule="auto"/>
              <w:jc w:val="center"/>
            </w:pPr>
            <w:r>
              <w:rPr>
                <w:sz w:val="20"/>
                <w:szCs w:val="20"/>
              </w:rPr>
              <w:t>I(1)</w:t>
            </w:r>
          </w:p>
        </w:tc>
      </w:tr>
      <w:tr w:rsidR="00FB5224" w14:paraId="354E7680" w14:textId="77777777">
        <w:trPr>
          <w:cantSplit/>
        </w:trPr>
        <w:tc>
          <w:tcPr>
            <w:tcW w:w="12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64BD67B0" w14:textId="77777777" w:rsidR="00FB5224" w:rsidRDefault="00000000">
            <w:pPr>
              <w:spacing w:line="252" w:lineRule="auto"/>
            </w:pPr>
            <w:r>
              <w:rPr>
                <w:b/>
                <w:bCs/>
                <w:sz w:val="20"/>
                <w:szCs w:val="20"/>
              </w:rPr>
              <w:t>LFCE</w:t>
            </w:r>
          </w:p>
        </w:tc>
        <w:tc>
          <w:tcPr>
            <w:tcW w:w="16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513FAA2C" w14:textId="77777777" w:rsidR="00FB5224" w:rsidRDefault="00000000">
            <w:pPr>
              <w:spacing w:line="252" w:lineRule="auto"/>
              <w:jc w:val="center"/>
            </w:pPr>
            <w:r>
              <w:rPr>
                <w:sz w:val="20"/>
                <w:szCs w:val="20"/>
              </w:rPr>
              <w:t>−1.761637</w:t>
            </w:r>
          </w:p>
        </w:tc>
        <w:tc>
          <w:tcPr>
            <w:tcW w:w="13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12702EA8" w14:textId="77777777" w:rsidR="00FB5224" w:rsidRDefault="00000000">
            <w:pPr>
              <w:spacing w:line="252" w:lineRule="auto"/>
              <w:jc w:val="center"/>
            </w:pPr>
            <w:r>
              <w:rPr>
                <w:sz w:val="20"/>
                <w:szCs w:val="20"/>
              </w:rPr>
              <w:t>0.3953</w:t>
            </w:r>
          </w:p>
        </w:tc>
        <w:tc>
          <w:tcPr>
            <w:tcW w:w="17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74BAA03F" w14:textId="77777777" w:rsidR="00FB5224" w:rsidRDefault="00000000">
            <w:pPr>
              <w:spacing w:line="252" w:lineRule="auto"/>
              <w:jc w:val="center"/>
            </w:pPr>
            <w:r>
              <w:rPr>
                <w:sz w:val="20"/>
                <w:szCs w:val="20"/>
              </w:rPr>
              <w:t>−6.251013</w:t>
            </w:r>
          </w:p>
        </w:tc>
        <w:tc>
          <w:tcPr>
            <w:tcW w:w="15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36A27A16" w14:textId="77777777" w:rsidR="00FB5224" w:rsidRDefault="00000000">
            <w:pPr>
              <w:spacing w:line="252" w:lineRule="auto"/>
              <w:jc w:val="center"/>
            </w:pPr>
            <w:r>
              <w:rPr>
                <w:sz w:val="20"/>
                <w:szCs w:val="20"/>
              </w:rPr>
              <w:t>0.0000</w:t>
            </w:r>
          </w:p>
        </w:tc>
        <w:tc>
          <w:tcPr>
            <w:tcW w:w="172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123278BC" w14:textId="77777777" w:rsidR="00FB5224" w:rsidRDefault="00000000">
            <w:pPr>
              <w:spacing w:line="252" w:lineRule="auto"/>
              <w:jc w:val="center"/>
            </w:pPr>
            <w:r>
              <w:rPr>
                <w:sz w:val="20"/>
                <w:szCs w:val="20"/>
              </w:rPr>
              <w:t>I(1)</w:t>
            </w:r>
          </w:p>
        </w:tc>
      </w:tr>
    </w:tbl>
    <w:p w14:paraId="1E24DACD" w14:textId="77777777" w:rsidR="00FB5224" w:rsidRDefault="00FB522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B5224" w14:paraId="7668EF04" w14:textId="77777777">
        <w:tc>
          <w:tcPr>
            <w:tcW w:w="9026" w:type="dxa"/>
            <w:gridSpan w:val="2"/>
            <w:tcBorders>
              <w:top w:val="single" w:sz="12" w:space="0" w:color="1F4E79"/>
              <w:left w:val="none" w:sz="0" w:space="0" w:color="FFFFFF"/>
              <w:bottom w:val="single" w:sz="6" w:space="0" w:color="1F4E79"/>
              <w:right w:val="none" w:sz="0" w:space="0" w:color="FFFFFF"/>
            </w:tcBorders>
            <w:shd w:val="clear" w:color="auto" w:fill="1F4E79"/>
            <w:tcMar>
              <w:top w:w="70" w:type="dxa"/>
              <w:left w:w="110" w:type="dxa"/>
              <w:bottom w:w="70" w:type="dxa"/>
              <w:right w:w="110" w:type="dxa"/>
            </w:tcMar>
          </w:tcPr>
          <w:p w14:paraId="06EABD33" w14:textId="77777777" w:rsidR="00FB5224" w:rsidRDefault="00000000">
            <w:pPr>
              <w:keepNext/>
            </w:pPr>
            <w:r>
              <w:rPr>
                <w:b/>
                <w:bCs/>
                <w:color w:val="FFFFFF"/>
                <w:sz w:val="21"/>
                <w:szCs w:val="21"/>
              </w:rPr>
              <w:lastRenderedPageBreak/>
              <w:t>ADF unit-root test</w:t>
            </w:r>
          </w:p>
        </w:tc>
      </w:tr>
      <w:tr w:rsidR="00FB5224" w14:paraId="775097B2"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32A67413" w14:textId="77777777" w:rsidR="00FB5224" w:rsidRDefault="00000000">
            <w:pPr>
              <w:keepNext/>
              <w:spacing w:line="252" w:lineRule="auto"/>
            </w:pPr>
            <w:r>
              <w:rPr>
                <w:b/>
                <w:bCs/>
                <w:color w:val="1F4E79"/>
                <w:sz w:val="20"/>
                <w:szCs w:val="20"/>
              </w:rPr>
              <w:t>Purpose</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36BFCE0D" w14:textId="77777777" w:rsidR="00FB5224" w:rsidRDefault="00000000">
            <w:pPr>
              <w:keepNext/>
              <w:spacing w:line="252" w:lineRule="auto"/>
            </w:pPr>
            <w:r>
              <w:rPr>
                <w:sz w:val="20"/>
                <w:szCs w:val="20"/>
              </w:rPr>
              <w:t>To determine whether each series contains a unit root and to identify its order of integration.</w:t>
            </w:r>
          </w:p>
        </w:tc>
      </w:tr>
      <w:tr w:rsidR="00FB5224" w14:paraId="083A5AE3"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69D872BC" w14:textId="77777777" w:rsidR="00FB5224" w:rsidRDefault="00000000">
            <w:pPr>
              <w:keepNext/>
              <w:spacing w:line="252" w:lineRule="auto"/>
            </w:pPr>
            <w:r>
              <w:rPr>
                <w:b/>
                <w:bCs/>
                <w:color w:val="1F4E79"/>
                <w:sz w:val="20"/>
                <w:szCs w:val="20"/>
              </w:rPr>
              <w:t>Null hypothesis</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FB685DE" w14:textId="77777777" w:rsidR="00FB5224" w:rsidRDefault="00000000">
            <w:pPr>
              <w:keepNext/>
              <w:spacing w:line="252" w:lineRule="auto"/>
            </w:pPr>
            <w:r>
              <w:rPr>
                <w:sz w:val="20"/>
                <w:szCs w:val="20"/>
              </w:rPr>
              <w:t>The series has a unit root (is nonstationary).</w:t>
            </w:r>
          </w:p>
        </w:tc>
      </w:tr>
      <w:tr w:rsidR="00FB5224" w14:paraId="5B77E948"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41BD63A6" w14:textId="77777777" w:rsidR="00FB5224" w:rsidRDefault="00000000">
            <w:pPr>
              <w:keepNext/>
              <w:spacing w:line="252" w:lineRule="auto"/>
            </w:pPr>
            <w:r>
              <w:rPr>
                <w:b/>
                <w:bCs/>
                <w:color w:val="1F4E79"/>
                <w:sz w:val="20"/>
                <w:szCs w:val="20"/>
              </w:rPr>
              <w:t>Result</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9A49F17" w14:textId="77777777" w:rsidR="00FB5224" w:rsidRDefault="00000000">
            <w:pPr>
              <w:keepNext/>
              <w:spacing w:line="252" w:lineRule="auto"/>
            </w:pPr>
            <w:r>
              <w:rPr>
                <w:sz w:val="20"/>
                <w:szCs w:val="20"/>
              </w:rPr>
              <w:t>Levels: p = 0.3463 (LGDP) and p = 0.3953 (LFCE). First differences: p = 0.0000 for both.</w:t>
            </w:r>
          </w:p>
        </w:tc>
      </w:tr>
      <w:tr w:rsidR="00FB5224" w14:paraId="44C410FA"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223D4447" w14:textId="77777777" w:rsidR="00FB5224" w:rsidRDefault="00000000">
            <w:pPr>
              <w:keepNext/>
              <w:spacing w:line="252" w:lineRule="auto"/>
            </w:pPr>
            <w:r>
              <w:rPr>
                <w:b/>
                <w:bCs/>
                <w:color w:val="1F4E79"/>
                <w:sz w:val="20"/>
                <w:szCs w:val="20"/>
              </w:rPr>
              <w:t>Decision</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3711875" w14:textId="77777777" w:rsidR="00FB5224" w:rsidRDefault="00000000">
            <w:pPr>
              <w:keepNext/>
              <w:spacing w:line="252" w:lineRule="auto"/>
            </w:pPr>
            <w:r>
              <w:rPr>
                <w:sz w:val="20"/>
                <w:szCs w:val="20"/>
              </w:rPr>
              <w:t>The null is not rejected for levels and is rejected for first differences.</w:t>
            </w:r>
          </w:p>
        </w:tc>
      </w:tr>
      <w:tr w:rsidR="00FB5224" w14:paraId="1CDB55FA" w14:textId="77777777">
        <w:trPr>
          <w:cantSplit/>
        </w:trPr>
        <w:tc>
          <w:tcPr>
            <w:tcW w:w="1900" w:type="dxa"/>
            <w:tcBorders>
              <w:top w:val="single" w:sz="4" w:space="0" w:color="BFBFBF"/>
              <w:left w:val="none" w:sz="0" w:space="0" w:color="FFFFFF"/>
              <w:bottom w:val="single" w:sz="12" w:space="0" w:color="1F4E79"/>
              <w:right w:val="none" w:sz="0" w:space="0" w:color="FFFFFF"/>
            </w:tcBorders>
            <w:shd w:val="clear" w:color="auto" w:fill="EAF1F8"/>
            <w:tcMar>
              <w:top w:w="70" w:type="dxa"/>
              <w:left w:w="110" w:type="dxa"/>
              <w:bottom w:w="70" w:type="dxa"/>
              <w:right w:w="110" w:type="dxa"/>
            </w:tcMar>
            <w:vAlign w:val="center"/>
          </w:tcPr>
          <w:p w14:paraId="30CC23CF" w14:textId="77777777" w:rsidR="00FB5224" w:rsidRDefault="00000000">
            <w:pPr>
              <w:spacing w:line="252" w:lineRule="auto"/>
            </w:pPr>
            <w:r>
              <w:rPr>
                <w:b/>
                <w:bCs/>
                <w:color w:val="1F4E79"/>
                <w:sz w:val="20"/>
                <w:szCs w:val="20"/>
              </w:rPr>
              <w:t>Implication</w:t>
            </w:r>
          </w:p>
        </w:tc>
        <w:tc>
          <w:tcPr>
            <w:tcW w:w="712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22867FA3" w14:textId="77777777" w:rsidR="00FB5224" w:rsidRDefault="00000000">
            <w:pPr>
              <w:spacing w:line="252" w:lineRule="auto"/>
            </w:pPr>
            <w:r>
              <w:rPr>
                <w:sz w:val="20"/>
                <w:szCs w:val="20"/>
              </w:rPr>
              <w:t xml:space="preserve">Both LGDP and LFCE are I(1). This sets </w:t>
            </w:r>
            <w:proofErr w:type="spellStart"/>
            <w:r>
              <w:rPr>
                <w:sz w:val="20"/>
                <w:szCs w:val="20"/>
              </w:rPr>
              <w:t>dmax</w:t>
            </w:r>
            <w:proofErr w:type="spellEnd"/>
            <w:r>
              <w:rPr>
                <w:sz w:val="20"/>
                <w:szCs w:val="20"/>
              </w:rPr>
              <w:t xml:space="preserve"> = 1 for the causality test and makes cointegration analysis meaningful.</w:t>
            </w:r>
          </w:p>
        </w:tc>
      </w:tr>
    </w:tbl>
    <w:p w14:paraId="257E0F6B" w14:textId="77777777" w:rsidR="00FB5224" w:rsidRDefault="00000000">
      <w:pPr>
        <w:pBdr>
          <w:left w:val="single" w:sz="24" w:space="8" w:color="2E75B6"/>
        </w:pBdr>
        <w:shd w:val="clear" w:color="auto" w:fill="EAF1F8"/>
        <w:spacing w:before="80" w:after="160" w:line="276" w:lineRule="auto"/>
        <w:ind w:left="200" w:right="100"/>
      </w:pPr>
      <w:r>
        <w:rPr>
          <w:b/>
          <w:bCs/>
          <w:color w:val="1F4E79"/>
        </w:rPr>
        <w:t xml:space="preserve">Economic intuition. </w:t>
      </w:r>
      <w:r>
        <w:t>GDP and consumption expenditure contain persistent long-run movements: their levels are not stable around a fixed mean, but their year-to-year changes are stationary. This is exactly the setting in which two variables may drift over time while remaining tied together by an equilibrium relationship.</w:t>
      </w:r>
    </w:p>
    <w:p w14:paraId="70224D2A" w14:textId="77777777" w:rsidR="00FB5224" w:rsidRDefault="00000000">
      <w:pPr>
        <w:pStyle w:val="Heading1"/>
        <w:keepNext/>
      </w:pPr>
      <w:r>
        <w:t>6. Engle–Granger Cointegration</w:t>
      </w:r>
    </w:p>
    <w:p w14:paraId="6EF74788" w14:textId="77777777" w:rsidR="00FB5224" w:rsidRDefault="00000000">
      <w:pPr>
        <w:spacing w:after="140" w:line="300" w:lineRule="auto"/>
        <w:jc w:val="both"/>
      </w:pPr>
      <w:r>
        <w:t>The Engle–Granger (EG) method is a two-step procedure. First, the long-run equation is estimated by regressing LGDP on a constant and LFCE, and the residual is saved as EGRESID. Second, an ADF test is applied to that residual (no deterministic term, automatic lag selection by AIC). If the residual is stationary, the variables are cointegrated.</w:t>
      </w:r>
    </w:p>
    <w:p w14:paraId="1F800F3D" w14:textId="77777777" w:rsidR="00FB5224" w:rsidRDefault="00000000">
      <w:pPr>
        <w:tabs>
          <w:tab w:val="center" w:pos="4513"/>
          <w:tab w:val="right" w:pos="9026"/>
        </w:tabs>
        <w:spacing w:before="100" w:after="180"/>
      </w:pPr>
      <w:r>
        <w:tab/>
      </w:r>
      <w:proofErr w:type="spellStart"/>
      <w:r>
        <w:rPr>
          <w:i/>
          <w:iCs/>
        </w:rPr>
        <w:t>LGDP</w:t>
      </w:r>
      <w:r>
        <w:rPr>
          <w:i/>
          <w:iCs/>
          <w:vertAlign w:val="subscript"/>
        </w:rPr>
        <w:t>t</w:t>
      </w:r>
      <w:proofErr w:type="spellEnd"/>
      <w:r>
        <w:rPr>
          <w:i/>
          <w:iCs/>
        </w:rPr>
        <w:t xml:space="preserve"> = β</w:t>
      </w:r>
      <w:r>
        <w:rPr>
          <w:i/>
          <w:iCs/>
          <w:vertAlign w:val="subscript"/>
        </w:rPr>
        <w:t>0</w:t>
      </w:r>
      <w:r>
        <w:rPr>
          <w:i/>
          <w:iCs/>
        </w:rPr>
        <w:t xml:space="preserve"> + β</w:t>
      </w:r>
      <w:r>
        <w:rPr>
          <w:i/>
          <w:iCs/>
          <w:vertAlign w:val="subscript"/>
        </w:rPr>
        <w:t>1</w:t>
      </w:r>
      <w:r>
        <w:rPr>
          <w:i/>
          <w:iCs/>
        </w:rPr>
        <w:t>LFCE</w:t>
      </w:r>
      <w:r>
        <w:rPr>
          <w:i/>
          <w:iCs/>
          <w:vertAlign w:val="subscript"/>
        </w:rPr>
        <w:t>t</w:t>
      </w:r>
      <w:r>
        <w:rPr>
          <w:i/>
          <w:iCs/>
        </w:rPr>
        <w:t xml:space="preserve"> + </w:t>
      </w:r>
      <w:proofErr w:type="spellStart"/>
      <w:r>
        <w:rPr>
          <w:i/>
          <w:iCs/>
        </w:rPr>
        <w:t>u</w:t>
      </w:r>
      <w:r>
        <w:rPr>
          <w:i/>
          <w:iCs/>
          <w:vertAlign w:val="subscript"/>
        </w:rPr>
        <w:t>t</w:t>
      </w:r>
      <w:proofErr w:type="spellEnd"/>
      <w:r>
        <w:tab/>
        <w:t>(2)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B5224" w14:paraId="2AFB7A17" w14:textId="77777777">
        <w:tc>
          <w:tcPr>
            <w:tcW w:w="9026" w:type="dxa"/>
            <w:gridSpan w:val="2"/>
            <w:tcBorders>
              <w:top w:val="single" w:sz="12" w:space="0" w:color="1F4E79"/>
              <w:left w:val="none" w:sz="0" w:space="0" w:color="FFFFFF"/>
              <w:bottom w:val="single" w:sz="6" w:space="0" w:color="1F4E79"/>
              <w:right w:val="none" w:sz="0" w:space="0" w:color="FFFFFF"/>
            </w:tcBorders>
            <w:shd w:val="clear" w:color="auto" w:fill="1F4E79"/>
            <w:tcMar>
              <w:top w:w="70" w:type="dxa"/>
              <w:left w:w="110" w:type="dxa"/>
              <w:bottom w:w="70" w:type="dxa"/>
              <w:right w:w="110" w:type="dxa"/>
            </w:tcMar>
          </w:tcPr>
          <w:p w14:paraId="0ED5611E" w14:textId="77777777" w:rsidR="00FB5224" w:rsidRDefault="00000000">
            <w:pPr>
              <w:keepNext/>
            </w:pPr>
            <w:r>
              <w:rPr>
                <w:b/>
                <w:bCs/>
                <w:color w:val="FFFFFF"/>
                <w:sz w:val="21"/>
                <w:szCs w:val="21"/>
              </w:rPr>
              <w:t>Engle–Granger residual ADF test</w:t>
            </w:r>
          </w:p>
        </w:tc>
      </w:tr>
      <w:tr w:rsidR="00FB5224" w14:paraId="3FDA3579"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0C87950F" w14:textId="77777777" w:rsidR="00FB5224" w:rsidRDefault="00000000">
            <w:pPr>
              <w:keepNext/>
              <w:spacing w:line="252" w:lineRule="auto"/>
            </w:pPr>
            <w:r>
              <w:rPr>
                <w:b/>
                <w:bCs/>
                <w:color w:val="1F4E79"/>
                <w:sz w:val="20"/>
                <w:szCs w:val="20"/>
              </w:rPr>
              <w:t>Purpose</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86E059D" w14:textId="77777777" w:rsidR="00FB5224" w:rsidRDefault="00000000">
            <w:pPr>
              <w:keepNext/>
              <w:spacing w:line="252" w:lineRule="auto"/>
            </w:pPr>
            <w:r>
              <w:rPr>
                <w:sz w:val="20"/>
                <w:szCs w:val="20"/>
              </w:rPr>
              <w:t>To test whether the deviation from the long-run relationship (EGRESID) is stationary.</w:t>
            </w:r>
          </w:p>
        </w:tc>
      </w:tr>
      <w:tr w:rsidR="00FB5224" w14:paraId="46563EB5"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314229D7" w14:textId="77777777" w:rsidR="00FB5224" w:rsidRDefault="00000000">
            <w:pPr>
              <w:keepNext/>
              <w:spacing w:line="252" w:lineRule="auto"/>
            </w:pPr>
            <w:r>
              <w:rPr>
                <w:b/>
                <w:bCs/>
                <w:color w:val="1F4E79"/>
                <w:sz w:val="20"/>
                <w:szCs w:val="20"/>
              </w:rPr>
              <w:t>Null hypothesis</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24BF080" w14:textId="77777777" w:rsidR="00FB5224" w:rsidRDefault="00000000">
            <w:pPr>
              <w:keepNext/>
              <w:spacing w:line="252" w:lineRule="auto"/>
            </w:pPr>
            <w:r>
              <w:rPr>
                <w:sz w:val="20"/>
                <w:szCs w:val="20"/>
              </w:rPr>
              <w:t>The residual has a unit root, i.e. no cointegration.</w:t>
            </w:r>
          </w:p>
        </w:tc>
      </w:tr>
      <w:tr w:rsidR="00FB5224" w14:paraId="2DEBEEB0"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75B08848" w14:textId="77777777" w:rsidR="00FB5224" w:rsidRDefault="00000000">
            <w:pPr>
              <w:keepNext/>
              <w:spacing w:line="252" w:lineRule="auto"/>
            </w:pPr>
            <w:r>
              <w:rPr>
                <w:b/>
                <w:bCs/>
                <w:color w:val="1F4E79"/>
                <w:sz w:val="20"/>
                <w:szCs w:val="20"/>
              </w:rPr>
              <w:t>Result</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0692CE4" w14:textId="77777777" w:rsidR="00FB5224" w:rsidRDefault="00000000">
            <w:pPr>
              <w:keepNext/>
              <w:spacing w:line="252" w:lineRule="auto"/>
            </w:pPr>
            <w:r>
              <w:rPr>
                <w:sz w:val="20"/>
                <w:szCs w:val="20"/>
              </w:rPr>
              <w:t>ADF = −1.910393; p = 0.0542.</w:t>
            </w:r>
          </w:p>
        </w:tc>
      </w:tr>
      <w:tr w:rsidR="00FB5224" w14:paraId="15B4A647"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4F3090D5" w14:textId="77777777" w:rsidR="00FB5224" w:rsidRDefault="00000000">
            <w:pPr>
              <w:keepNext/>
              <w:spacing w:line="252" w:lineRule="auto"/>
            </w:pPr>
            <w:r>
              <w:rPr>
                <w:b/>
                <w:bCs/>
                <w:color w:val="1F4E79"/>
                <w:sz w:val="20"/>
                <w:szCs w:val="20"/>
              </w:rPr>
              <w:t>Decision</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5310C61" w14:textId="77777777" w:rsidR="00FB5224" w:rsidRDefault="00000000">
            <w:pPr>
              <w:keepNext/>
              <w:spacing w:line="252" w:lineRule="auto"/>
            </w:pPr>
            <w:r>
              <w:rPr>
                <w:sz w:val="20"/>
                <w:szCs w:val="20"/>
              </w:rPr>
              <w:t xml:space="preserve">The null is </w:t>
            </w:r>
            <w:r>
              <w:rPr>
                <w:b/>
                <w:bCs/>
                <w:sz w:val="20"/>
                <w:szCs w:val="20"/>
              </w:rPr>
              <w:t>not rejected at 5%</w:t>
            </w:r>
            <w:r>
              <w:rPr>
                <w:sz w:val="20"/>
                <w:szCs w:val="20"/>
              </w:rPr>
              <w:t>, but is rejected at 10%.</w:t>
            </w:r>
          </w:p>
        </w:tc>
      </w:tr>
      <w:tr w:rsidR="00FB5224" w14:paraId="21CCE3E1" w14:textId="77777777">
        <w:trPr>
          <w:cantSplit/>
        </w:trPr>
        <w:tc>
          <w:tcPr>
            <w:tcW w:w="1900" w:type="dxa"/>
            <w:tcBorders>
              <w:top w:val="single" w:sz="4" w:space="0" w:color="BFBFBF"/>
              <w:left w:val="none" w:sz="0" w:space="0" w:color="FFFFFF"/>
              <w:bottom w:val="single" w:sz="12" w:space="0" w:color="1F4E79"/>
              <w:right w:val="none" w:sz="0" w:space="0" w:color="FFFFFF"/>
            </w:tcBorders>
            <w:shd w:val="clear" w:color="auto" w:fill="EAF1F8"/>
            <w:tcMar>
              <w:top w:w="70" w:type="dxa"/>
              <w:left w:w="110" w:type="dxa"/>
              <w:bottom w:w="70" w:type="dxa"/>
              <w:right w:w="110" w:type="dxa"/>
            </w:tcMar>
            <w:vAlign w:val="center"/>
          </w:tcPr>
          <w:p w14:paraId="4E5BBEBE" w14:textId="77777777" w:rsidR="00FB5224" w:rsidRDefault="00000000">
            <w:pPr>
              <w:spacing w:line="252" w:lineRule="auto"/>
            </w:pPr>
            <w:r>
              <w:rPr>
                <w:b/>
                <w:bCs/>
                <w:color w:val="1F4E79"/>
                <w:sz w:val="20"/>
                <w:szCs w:val="20"/>
              </w:rPr>
              <w:t>Implication</w:t>
            </w:r>
          </w:p>
        </w:tc>
        <w:tc>
          <w:tcPr>
            <w:tcW w:w="712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30B16DC5" w14:textId="77777777" w:rsidR="00FB5224" w:rsidRDefault="00000000">
            <w:pPr>
              <w:spacing w:line="252" w:lineRule="auto"/>
            </w:pPr>
            <w:r>
              <w:rPr>
                <w:sz w:val="20"/>
                <w:szCs w:val="20"/>
              </w:rPr>
              <w:t xml:space="preserve">Engle–Granger provides only borderline/weak evidence of cointegration at the 10% level. Cointegration should </w:t>
            </w:r>
            <w:r>
              <w:rPr>
                <w:b/>
                <w:bCs/>
                <w:sz w:val="20"/>
                <w:szCs w:val="20"/>
              </w:rPr>
              <w:t>not</w:t>
            </w:r>
            <w:r>
              <w:rPr>
                <w:sz w:val="20"/>
                <w:szCs w:val="20"/>
              </w:rPr>
              <w:t xml:space="preserve"> be claimed at 5% on the basis of this test.</w:t>
            </w:r>
          </w:p>
        </w:tc>
      </w:tr>
    </w:tbl>
    <w:p w14:paraId="4C4EE2E3" w14:textId="77777777" w:rsidR="00FB5224" w:rsidRDefault="00000000">
      <w:pPr>
        <w:pBdr>
          <w:left w:val="single" w:sz="24" w:space="8" w:color="2E75B6"/>
        </w:pBdr>
        <w:shd w:val="clear" w:color="auto" w:fill="EAF1F8"/>
        <w:spacing w:before="80" w:after="160" w:line="276" w:lineRule="auto"/>
        <w:ind w:left="200" w:right="100"/>
      </w:pPr>
      <w:r>
        <w:rPr>
          <w:b/>
          <w:bCs/>
          <w:color w:val="1F4E79"/>
        </w:rPr>
        <w:t xml:space="preserve">Economic intuition. </w:t>
      </w:r>
      <w:r>
        <w:t>Consumption and GDP may move together over the long run, but the evidence from this two-step test is weaker than the later Johansen evidence. EG is retained as a taught alternative and as the basis for the ECM in Section 9.</w:t>
      </w:r>
    </w:p>
    <w:p w14:paraId="0963087E" w14:textId="77777777" w:rsidR="00FB5224" w:rsidRDefault="00000000">
      <w:pPr>
        <w:pStyle w:val="Heading1"/>
        <w:keepNext/>
      </w:pPr>
      <w:r>
        <w:t>7. VAR Lag Selection</w:t>
      </w:r>
    </w:p>
    <w:p w14:paraId="37497E13" w14:textId="77777777" w:rsidR="00FB5224" w:rsidRDefault="00000000">
      <w:pPr>
        <w:spacing w:after="140" w:line="300" w:lineRule="auto"/>
        <w:jc w:val="both"/>
      </w:pPr>
      <w:r>
        <w:t>Johansen testing and the VECM both depend on the lag order of the underlying VAR. A VAR was estimated with LGDP and LFCE as endogenous variables, a constant as exogenous/deterministic input, and candidate lags 0–10. Information criteria trade off fit against parsimony, and the lag minimizing the criterion is chosen.</w:t>
      </w:r>
    </w:p>
    <w:p w14:paraId="19767080" w14:textId="77777777" w:rsidR="00FB5224" w:rsidRDefault="00000000">
      <w:pPr>
        <w:keepNext/>
        <w:spacing w:before="160" w:after="80"/>
      </w:pPr>
      <w:r>
        <w:rPr>
          <w:b/>
          <w:bCs/>
          <w:i/>
          <w:iCs/>
          <w:color w:val="1F4E79"/>
          <w:sz w:val="21"/>
          <w:szCs w:val="21"/>
        </w:rPr>
        <w:lastRenderedPageBreak/>
        <w:t>Table 5. Lag order selected by each criterion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FB5224" w14:paraId="0247A91A" w14:textId="77777777">
        <w:trPr>
          <w:tblHeader/>
        </w:trPr>
        <w:tc>
          <w:tcPr>
            <w:tcW w:w="20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6FC6B0EB" w14:textId="77777777" w:rsidR="00FB5224" w:rsidRDefault="00000000">
            <w:pPr>
              <w:keepNext/>
              <w:spacing w:line="252" w:lineRule="auto"/>
            </w:pPr>
            <w:r>
              <w:rPr>
                <w:b/>
                <w:bCs/>
                <w:color w:val="1F4E79"/>
                <w:sz w:val="20"/>
                <w:szCs w:val="20"/>
              </w:rPr>
              <w:t>Criterion</w:t>
            </w:r>
          </w:p>
        </w:tc>
        <w:tc>
          <w:tcPr>
            <w:tcW w:w="20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347E2015" w14:textId="77777777" w:rsidR="00FB5224" w:rsidRDefault="00000000">
            <w:pPr>
              <w:keepNext/>
              <w:spacing w:line="252" w:lineRule="auto"/>
            </w:pPr>
            <w:r>
              <w:rPr>
                <w:b/>
                <w:bCs/>
                <w:color w:val="1F4E79"/>
                <w:sz w:val="20"/>
                <w:szCs w:val="20"/>
              </w:rPr>
              <w:t>Selected lag</w:t>
            </w:r>
          </w:p>
        </w:tc>
        <w:tc>
          <w:tcPr>
            <w:tcW w:w="5026"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65A19114" w14:textId="77777777" w:rsidR="00FB5224" w:rsidRDefault="00000000">
            <w:pPr>
              <w:keepNext/>
              <w:spacing w:line="252" w:lineRule="auto"/>
            </w:pPr>
            <w:r>
              <w:rPr>
                <w:b/>
                <w:bCs/>
                <w:color w:val="1F4E79"/>
                <w:sz w:val="20"/>
                <w:szCs w:val="20"/>
              </w:rPr>
              <w:t>Role</w:t>
            </w:r>
          </w:p>
        </w:tc>
      </w:tr>
      <w:tr w:rsidR="00FB5224" w14:paraId="3769015C" w14:textId="77777777">
        <w:trPr>
          <w:cantSplit/>
        </w:trPr>
        <w:tc>
          <w:tcPr>
            <w:tcW w:w="2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22EEF17" w14:textId="77777777" w:rsidR="00FB5224" w:rsidRDefault="00000000">
            <w:pPr>
              <w:keepNext/>
              <w:spacing w:line="252" w:lineRule="auto"/>
            </w:pPr>
            <w:r>
              <w:rPr>
                <w:b/>
                <w:bCs/>
                <w:sz w:val="20"/>
                <w:szCs w:val="20"/>
              </w:rPr>
              <w:t>AIC</w:t>
            </w:r>
          </w:p>
        </w:tc>
        <w:tc>
          <w:tcPr>
            <w:tcW w:w="2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D96F204" w14:textId="77777777" w:rsidR="00FB5224" w:rsidRDefault="00000000">
            <w:pPr>
              <w:keepNext/>
              <w:spacing w:line="252" w:lineRule="auto"/>
            </w:pPr>
            <w:r>
              <w:rPr>
                <w:sz w:val="20"/>
                <w:szCs w:val="20"/>
              </w:rPr>
              <w:t>1</w:t>
            </w:r>
          </w:p>
        </w:tc>
        <w:tc>
          <w:tcPr>
            <w:tcW w:w="50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2CF57D3" w14:textId="77777777" w:rsidR="00FB5224" w:rsidRDefault="00000000">
            <w:pPr>
              <w:keepNext/>
              <w:spacing w:line="252" w:lineRule="auto"/>
            </w:pPr>
            <w:r>
              <w:rPr>
                <w:sz w:val="20"/>
                <w:szCs w:val="20"/>
              </w:rPr>
              <w:t>Pre-specified criterion; used for the main specification</w:t>
            </w:r>
          </w:p>
        </w:tc>
      </w:tr>
      <w:tr w:rsidR="00FB5224" w14:paraId="5EA95344" w14:textId="77777777">
        <w:trPr>
          <w:cantSplit/>
        </w:trPr>
        <w:tc>
          <w:tcPr>
            <w:tcW w:w="2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265F9BE" w14:textId="77777777" w:rsidR="00FB5224" w:rsidRDefault="00000000">
            <w:pPr>
              <w:keepNext/>
              <w:spacing w:line="252" w:lineRule="auto"/>
            </w:pPr>
            <w:r>
              <w:rPr>
                <w:b/>
                <w:bCs/>
                <w:sz w:val="20"/>
                <w:szCs w:val="20"/>
              </w:rPr>
              <w:t>SC</w:t>
            </w:r>
          </w:p>
        </w:tc>
        <w:tc>
          <w:tcPr>
            <w:tcW w:w="2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D2AC744" w14:textId="77777777" w:rsidR="00FB5224" w:rsidRDefault="00000000">
            <w:pPr>
              <w:keepNext/>
              <w:spacing w:line="252" w:lineRule="auto"/>
            </w:pPr>
            <w:r>
              <w:rPr>
                <w:sz w:val="20"/>
                <w:szCs w:val="20"/>
              </w:rPr>
              <w:t>1</w:t>
            </w:r>
          </w:p>
        </w:tc>
        <w:tc>
          <w:tcPr>
            <w:tcW w:w="50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D2B3BFD" w14:textId="77777777" w:rsidR="00FB5224" w:rsidRDefault="00000000">
            <w:pPr>
              <w:keepNext/>
              <w:spacing w:line="252" w:lineRule="auto"/>
            </w:pPr>
            <w:r>
              <w:rPr>
                <w:sz w:val="20"/>
                <w:szCs w:val="20"/>
              </w:rPr>
              <w:t>Agrees with AIC</w:t>
            </w:r>
          </w:p>
        </w:tc>
      </w:tr>
      <w:tr w:rsidR="00FB5224" w14:paraId="708F1B97" w14:textId="77777777">
        <w:trPr>
          <w:cantSplit/>
        </w:trPr>
        <w:tc>
          <w:tcPr>
            <w:tcW w:w="2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0EC494C" w14:textId="77777777" w:rsidR="00FB5224" w:rsidRDefault="00000000">
            <w:pPr>
              <w:keepNext/>
              <w:spacing w:line="252" w:lineRule="auto"/>
            </w:pPr>
            <w:r>
              <w:rPr>
                <w:b/>
                <w:bCs/>
                <w:sz w:val="20"/>
                <w:szCs w:val="20"/>
              </w:rPr>
              <w:t>HQ</w:t>
            </w:r>
          </w:p>
        </w:tc>
        <w:tc>
          <w:tcPr>
            <w:tcW w:w="2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3C4AA2C" w14:textId="77777777" w:rsidR="00FB5224" w:rsidRDefault="00000000">
            <w:pPr>
              <w:keepNext/>
              <w:spacing w:line="252" w:lineRule="auto"/>
            </w:pPr>
            <w:r>
              <w:rPr>
                <w:sz w:val="20"/>
                <w:szCs w:val="20"/>
              </w:rPr>
              <w:t>1</w:t>
            </w:r>
          </w:p>
        </w:tc>
        <w:tc>
          <w:tcPr>
            <w:tcW w:w="50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AC1315A" w14:textId="77777777" w:rsidR="00FB5224" w:rsidRDefault="00000000">
            <w:pPr>
              <w:keepNext/>
              <w:spacing w:line="252" w:lineRule="auto"/>
            </w:pPr>
            <w:r>
              <w:rPr>
                <w:sz w:val="20"/>
                <w:szCs w:val="20"/>
              </w:rPr>
              <w:t>Agrees with AIC</w:t>
            </w:r>
          </w:p>
        </w:tc>
      </w:tr>
      <w:tr w:rsidR="00FB5224" w14:paraId="6B83436E" w14:textId="77777777">
        <w:trPr>
          <w:cantSplit/>
        </w:trPr>
        <w:tc>
          <w:tcPr>
            <w:tcW w:w="2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3D225E27" w14:textId="77777777" w:rsidR="00FB5224" w:rsidRDefault="00000000">
            <w:pPr>
              <w:keepNext/>
              <w:spacing w:line="252" w:lineRule="auto"/>
            </w:pPr>
            <w:r>
              <w:rPr>
                <w:b/>
                <w:bCs/>
                <w:sz w:val="20"/>
                <w:szCs w:val="20"/>
              </w:rPr>
              <w:t>FPE</w:t>
            </w:r>
          </w:p>
        </w:tc>
        <w:tc>
          <w:tcPr>
            <w:tcW w:w="2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A82C007" w14:textId="77777777" w:rsidR="00FB5224" w:rsidRDefault="00000000">
            <w:pPr>
              <w:keepNext/>
              <w:spacing w:line="252" w:lineRule="auto"/>
            </w:pPr>
            <w:r>
              <w:rPr>
                <w:sz w:val="20"/>
                <w:szCs w:val="20"/>
              </w:rPr>
              <w:t>1</w:t>
            </w:r>
          </w:p>
        </w:tc>
        <w:tc>
          <w:tcPr>
            <w:tcW w:w="50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350DBFC9" w14:textId="77777777" w:rsidR="00FB5224" w:rsidRDefault="00000000">
            <w:pPr>
              <w:keepNext/>
              <w:spacing w:line="252" w:lineRule="auto"/>
            </w:pPr>
            <w:r>
              <w:rPr>
                <w:sz w:val="20"/>
                <w:szCs w:val="20"/>
              </w:rPr>
              <w:t>Agrees with AIC</w:t>
            </w:r>
          </w:p>
        </w:tc>
      </w:tr>
      <w:tr w:rsidR="00FB5224" w14:paraId="59358F03" w14:textId="77777777">
        <w:trPr>
          <w:cantSplit/>
        </w:trPr>
        <w:tc>
          <w:tcPr>
            <w:tcW w:w="20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25BEC2C2" w14:textId="77777777" w:rsidR="00FB5224" w:rsidRDefault="00000000">
            <w:pPr>
              <w:spacing w:line="252" w:lineRule="auto"/>
            </w:pPr>
            <w:r>
              <w:rPr>
                <w:b/>
                <w:bCs/>
                <w:sz w:val="20"/>
                <w:szCs w:val="20"/>
              </w:rPr>
              <w:t>LR</w:t>
            </w:r>
          </w:p>
        </w:tc>
        <w:tc>
          <w:tcPr>
            <w:tcW w:w="20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22424041" w14:textId="77777777" w:rsidR="00FB5224" w:rsidRDefault="00000000">
            <w:pPr>
              <w:spacing w:line="252" w:lineRule="auto"/>
            </w:pPr>
            <w:r>
              <w:rPr>
                <w:sz w:val="20"/>
                <w:szCs w:val="20"/>
              </w:rPr>
              <w:t>5</w:t>
            </w:r>
          </w:p>
        </w:tc>
        <w:tc>
          <w:tcPr>
            <w:tcW w:w="502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62A7C4CB" w14:textId="77777777" w:rsidR="00FB5224" w:rsidRDefault="00000000">
            <w:pPr>
              <w:spacing w:line="252" w:lineRule="auto"/>
            </w:pPr>
            <w:r>
              <w:rPr>
                <w:sz w:val="20"/>
                <w:szCs w:val="20"/>
              </w:rPr>
              <w:t>Disagrees; not used</w:t>
            </w:r>
          </w:p>
        </w:tc>
      </w:tr>
    </w:tbl>
    <w:p w14:paraId="76BC5C2C" w14:textId="77777777" w:rsidR="00FB5224" w:rsidRDefault="00000000">
      <w:pPr>
        <w:spacing w:before="120" w:after="120"/>
        <w:jc w:val="both"/>
      </w:pPr>
      <w:r>
        <w:t xml:space="preserve">Because AIC was the pre-specified criterion (and SC, HQ and FPE concur), the study uses </w:t>
      </w:r>
      <w:r>
        <w:rPr>
          <w:b/>
          <w:bCs/>
        </w:rPr>
        <w:t>VAR(1)</w:t>
      </w:r>
      <w:r>
        <w:t>.</w:t>
      </w:r>
    </w:p>
    <w:p w14:paraId="33290E61" w14:textId="77777777" w:rsidR="00FB5224" w:rsidRDefault="00000000">
      <w:pPr>
        <w:pBdr>
          <w:left w:val="single" w:sz="24" w:space="8" w:color="2E75B6"/>
        </w:pBdr>
        <w:shd w:val="clear" w:color="auto" w:fill="EAF1F8"/>
        <w:spacing w:before="80" w:after="160" w:line="276" w:lineRule="auto"/>
        <w:ind w:left="200" w:right="100"/>
      </w:pPr>
      <w:r>
        <w:rPr>
          <w:b/>
          <w:bCs/>
          <w:color w:val="1F4E79"/>
        </w:rPr>
        <w:t xml:space="preserve">EViews distinction. </w:t>
      </w:r>
      <w:r>
        <w:t>A VAR(1) corresponds to a VECM with zero lagged first-difference terms (p − 1 = 0). The Johansen and VECM dialogs therefore use the lag interval 0 0 in first differences. This is not an error.</w:t>
      </w:r>
    </w:p>
    <w:p w14:paraId="49196599" w14:textId="77777777" w:rsidR="00FB5224" w:rsidRDefault="00000000">
      <w:pPr>
        <w:pStyle w:val="Heading1"/>
        <w:keepNext/>
      </w:pPr>
      <w:r>
        <w:t>8. Johansen Cointegration</w:t>
      </w:r>
    </w:p>
    <w:p w14:paraId="6E5B678F" w14:textId="77777777" w:rsidR="00FB5224" w:rsidRDefault="00000000">
      <w:pPr>
        <w:spacing w:after="140" w:line="300" w:lineRule="auto"/>
        <w:jc w:val="both"/>
      </w:pPr>
      <w:r>
        <w:t>The Johansen procedure tests the rank r of the long-run matrix Π in the VECM representation of the system, which equals the number of cointegrating vectors:</w:t>
      </w:r>
    </w:p>
    <w:p w14:paraId="43A0D601" w14:textId="77777777" w:rsidR="00FB5224" w:rsidRDefault="00000000">
      <w:pPr>
        <w:tabs>
          <w:tab w:val="center" w:pos="4513"/>
          <w:tab w:val="right" w:pos="9026"/>
        </w:tabs>
        <w:spacing w:before="100" w:after="180"/>
      </w:pPr>
      <w:r>
        <w:tab/>
      </w:r>
      <w:proofErr w:type="spellStart"/>
      <w:r>
        <w:rPr>
          <w:i/>
          <w:iCs/>
        </w:rPr>
        <w:t>ΔY</w:t>
      </w:r>
      <w:r>
        <w:rPr>
          <w:i/>
          <w:iCs/>
          <w:vertAlign w:val="subscript"/>
        </w:rPr>
        <w:t>t</w:t>
      </w:r>
      <w:proofErr w:type="spellEnd"/>
      <w:r>
        <w:rPr>
          <w:i/>
          <w:iCs/>
        </w:rPr>
        <w:t xml:space="preserve"> = ΠY</w:t>
      </w:r>
      <w:r>
        <w:rPr>
          <w:i/>
          <w:iCs/>
          <w:vertAlign w:val="subscript"/>
        </w:rPr>
        <w:t>t−1</w:t>
      </w:r>
      <w:r>
        <w:rPr>
          <w:i/>
          <w:iCs/>
        </w:rPr>
        <w:t xml:space="preserve"> + Σ </w:t>
      </w:r>
      <w:proofErr w:type="spellStart"/>
      <w:r>
        <w:rPr>
          <w:i/>
          <w:iCs/>
        </w:rPr>
        <w:t>Γ</w:t>
      </w:r>
      <w:r>
        <w:rPr>
          <w:i/>
          <w:iCs/>
          <w:vertAlign w:val="subscript"/>
        </w:rPr>
        <w:t>i</w:t>
      </w:r>
      <w:r>
        <w:rPr>
          <w:i/>
          <w:iCs/>
        </w:rPr>
        <w:t>ΔY</w:t>
      </w:r>
      <w:r>
        <w:rPr>
          <w:i/>
          <w:iCs/>
          <w:vertAlign w:val="subscript"/>
        </w:rPr>
        <w:t>t−i</w:t>
      </w:r>
      <w:proofErr w:type="spellEnd"/>
      <w:r>
        <w:rPr>
          <w:i/>
          <w:iCs/>
        </w:rPr>
        <w:t xml:space="preserve"> + </w:t>
      </w:r>
      <w:proofErr w:type="spellStart"/>
      <w:r>
        <w:rPr>
          <w:i/>
          <w:iCs/>
        </w:rPr>
        <w:t>ε</w:t>
      </w:r>
      <w:r>
        <w:rPr>
          <w:i/>
          <w:iCs/>
          <w:vertAlign w:val="subscript"/>
        </w:rPr>
        <w:t>t</w:t>
      </w:r>
      <w:proofErr w:type="spellEnd"/>
      <w:r>
        <w:tab/>
        <w:t>(3)</w:t>
      </w:r>
    </w:p>
    <w:p w14:paraId="0C3EC45A" w14:textId="77777777" w:rsidR="00FB5224" w:rsidRDefault="00000000">
      <w:pPr>
        <w:spacing w:after="140" w:line="300" w:lineRule="auto"/>
        <w:jc w:val="both"/>
      </w:pPr>
      <w:r>
        <w:t xml:space="preserve">Two statistics are used. The </w:t>
      </w:r>
      <w:r>
        <w:rPr>
          <w:b/>
          <w:bCs/>
        </w:rPr>
        <w:t>trace test</w:t>
      </w:r>
      <w:r>
        <w:t xml:space="preserve"> examines whether there are at most r cointegrating vectors; the </w:t>
      </w:r>
      <w:r>
        <w:rPr>
          <w:b/>
          <w:bCs/>
        </w:rPr>
        <w:t>maximum-eigenvalue test</w:t>
      </w:r>
      <w:r>
        <w:t xml:space="preserve"> examines r cointegrating vectors against r + 1. The final deterministic specification was EViews option 3: intercept in the cointegrating equation and test VAR, with no trend in the cointegrating relation. The lag interval in first differences was 0 0, consistent with VAR(1).</w:t>
      </w:r>
    </w:p>
    <w:p w14:paraId="5EFF57F5" w14:textId="77777777" w:rsidR="00FB5224" w:rsidRDefault="00000000">
      <w:pPr>
        <w:keepNext/>
        <w:spacing w:before="160" w:after="80"/>
      </w:pPr>
      <w:r>
        <w:rPr>
          <w:b/>
          <w:bCs/>
          <w:i/>
          <w:iCs/>
          <w:color w:val="1F4E79"/>
          <w:sz w:val="21"/>
          <w:szCs w:val="21"/>
        </w:rPr>
        <w:t>Table 6. Johansen cointegration test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1500"/>
        <w:gridCol w:w="1700"/>
        <w:gridCol w:w="1100"/>
        <w:gridCol w:w="2026"/>
      </w:tblGrid>
      <w:tr w:rsidR="00FB5224" w14:paraId="4BD4BE6B" w14:textId="77777777">
        <w:trPr>
          <w:tblHeader/>
        </w:trPr>
        <w:tc>
          <w:tcPr>
            <w:tcW w:w="17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04DE32BE" w14:textId="77777777" w:rsidR="00FB5224" w:rsidRDefault="00000000">
            <w:pPr>
              <w:keepNext/>
              <w:spacing w:line="252" w:lineRule="auto"/>
            </w:pPr>
            <w:r>
              <w:rPr>
                <w:b/>
                <w:bCs/>
                <w:color w:val="1F4E79"/>
                <w:sz w:val="20"/>
                <w:szCs w:val="20"/>
              </w:rPr>
              <w:t>Test</w:t>
            </w:r>
          </w:p>
        </w:tc>
        <w:tc>
          <w:tcPr>
            <w:tcW w:w="10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5B4D433E" w14:textId="77777777" w:rsidR="00FB5224" w:rsidRDefault="00000000">
            <w:pPr>
              <w:keepNext/>
              <w:spacing w:line="252" w:lineRule="auto"/>
              <w:jc w:val="center"/>
            </w:pPr>
            <w:r>
              <w:rPr>
                <w:b/>
                <w:bCs/>
                <w:color w:val="1F4E79"/>
                <w:sz w:val="20"/>
                <w:szCs w:val="20"/>
              </w:rPr>
              <w:t>Null</w:t>
            </w:r>
          </w:p>
        </w:tc>
        <w:tc>
          <w:tcPr>
            <w:tcW w:w="15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3E197F69" w14:textId="77777777" w:rsidR="00FB5224" w:rsidRDefault="00000000">
            <w:pPr>
              <w:keepNext/>
              <w:spacing w:line="252" w:lineRule="auto"/>
              <w:jc w:val="center"/>
            </w:pPr>
            <w:r>
              <w:rPr>
                <w:b/>
                <w:bCs/>
                <w:color w:val="1F4E79"/>
                <w:sz w:val="20"/>
                <w:szCs w:val="20"/>
              </w:rPr>
              <w:t>Statistic</w:t>
            </w:r>
          </w:p>
        </w:tc>
        <w:tc>
          <w:tcPr>
            <w:tcW w:w="17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7339A978" w14:textId="77777777" w:rsidR="00FB5224" w:rsidRDefault="00000000">
            <w:pPr>
              <w:keepNext/>
              <w:spacing w:line="252" w:lineRule="auto"/>
              <w:jc w:val="center"/>
            </w:pPr>
            <w:r>
              <w:rPr>
                <w:b/>
                <w:bCs/>
                <w:color w:val="1F4E79"/>
                <w:sz w:val="20"/>
                <w:szCs w:val="20"/>
              </w:rPr>
              <w:t>5% critical value</w:t>
            </w:r>
          </w:p>
        </w:tc>
        <w:tc>
          <w:tcPr>
            <w:tcW w:w="11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062767FE" w14:textId="77777777" w:rsidR="00FB5224" w:rsidRDefault="00000000">
            <w:pPr>
              <w:keepNext/>
              <w:spacing w:line="252" w:lineRule="auto"/>
              <w:jc w:val="center"/>
            </w:pPr>
            <w:r>
              <w:rPr>
                <w:b/>
                <w:bCs/>
                <w:color w:val="1F4E79"/>
                <w:sz w:val="20"/>
                <w:szCs w:val="20"/>
              </w:rPr>
              <w:t>p-value</w:t>
            </w:r>
          </w:p>
        </w:tc>
        <w:tc>
          <w:tcPr>
            <w:tcW w:w="2026"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30CD3771" w14:textId="77777777" w:rsidR="00FB5224" w:rsidRDefault="00000000">
            <w:pPr>
              <w:keepNext/>
              <w:spacing w:line="252" w:lineRule="auto"/>
              <w:jc w:val="center"/>
            </w:pPr>
            <w:r>
              <w:rPr>
                <w:b/>
                <w:bCs/>
                <w:color w:val="1F4E79"/>
                <w:sz w:val="20"/>
                <w:szCs w:val="20"/>
              </w:rPr>
              <w:t>Decision</w:t>
            </w:r>
          </w:p>
        </w:tc>
      </w:tr>
      <w:tr w:rsidR="00FB5224" w14:paraId="495F4BB9" w14:textId="77777777">
        <w:trPr>
          <w:cantSplit/>
        </w:trPr>
        <w:tc>
          <w:tcPr>
            <w:tcW w:w="1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3B99FCF1" w14:textId="77777777" w:rsidR="00FB5224" w:rsidRDefault="00000000">
            <w:pPr>
              <w:keepNext/>
              <w:spacing w:line="252" w:lineRule="auto"/>
            </w:pPr>
            <w:r>
              <w:rPr>
                <w:b/>
                <w:bCs/>
                <w:sz w:val="20"/>
                <w:szCs w:val="20"/>
              </w:rPr>
              <w:t>Trace</w:t>
            </w:r>
          </w:p>
        </w:tc>
        <w:tc>
          <w:tcPr>
            <w:tcW w:w="1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D897CE0" w14:textId="77777777" w:rsidR="00FB5224" w:rsidRDefault="00000000">
            <w:pPr>
              <w:keepNext/>
              <w:spacing w:line="252" w:lineRule="auto"/>
              <w:jc w:val="center"/>
            </w:pPr>
            <w:r>
              <w:rPr>
                <w:sz w:val="20"/>
                <w:szCs w:val="20"/>
              </w:rPr>
              <w:t>r = 0</w:t>
            </w:r>
          </w:p>
        </w:tc>
        <w:tc>
          <w:tcPr>
            <w:tcW w:w="15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3E885040" w14:textId="77777777" w:rsidR="00FB5224" w:rsidRDefault="00000000">
            <w:pPr>
              <w:keepNext/>
              <w:spacing w:line="252" w:lineRule="auto"/>
              <w:jc w:val="center"/>
            </w:pPr>
            <w:r>
              <w:rPr>
                <w:sz w:val="20"/>
                <w:szCs w:val="20"/>
              </w:rPr>
              <w:t>20.75469</w:t>
            </w:r>
          </w:p>
        </w:tc>
        <w:tc>
          <w:tcPr>
            <w:tcW w:w="1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E7B8DE8" w14:textId="77777777" w:rsidR="00FB5224" w:rsidRDefault="00000000">
            <w:pPr>
              <w:keepNext/>
              <w:spacing w:line="252" w:lineRule="auto"/>
              <w:jc w:val="center"/>
            </w:pPr>
            <w:r>
              <w:rPr>
                <w:sz w:val="20"/>
                <w:szCs w:val="20"/>
              </w:rPr>
              <w:t>15.49471</w:t>
            </w:r>
          </w:p>
        </w:tc>
        <w:tc>
          <w:tcPr>
            <w:tcW w:w="11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34FFAAEA" w14:textId="77777777" w:rsidR="00FB5224" w:rsidRDefault="00000000">
            <w:pPr>
              <w:keepNext/>
              <w:spacing w:line="252" w:lineRule="auto"/>
              <w:jc w:val="center"/>
            </w:pPr>
            <w:r>
              <w:rPr>
                <w:sz w:val="20"/>
                <w:szCs w:val="20"/>
              </w:rPr>
              <w:t>0.0073</w:t>
            </w:r>
          </w:p>
        </w:tc>
        <w:tc>
          <w:tcPr>
            <w:tcW w:w="20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F4C9E3C" w14:textId="77777777" w:rsidR="00FB5224" w:rsidRDefault="00000000">
            <w:pPr>
              <w:keepNext/>
              <w:spacing w:line="252" w:lineRule="auto"/>
              <w:jc w:val="center"/>
            </w:pPr>
            <w:r>
              <w:rPr>
                <w:sz w:val="20"/>
                <w:szCs w:val="20"/>
              </w:rPr>
              <w:t>Reject r = 0</w:t>
            </w:r>
          </w:p>
        </w:tc>
      </w:tr>
      <w:tr w:rsidR="00FB5224" w14:paraId="4EC88652" w14:textId="77777777">
        <w:trPr>
          <w:cantSplit/>
        </w:trPr>
        <w:tc>
          <w:tcPr>
            <w:tcW w:w="1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7E8CF92" w14:textId="77777777" w:rsidR="00FB5224" w:rsidRDefault="00000000">
            <w:pPr>
              <w:keepNext/>
              <w:spacing w:line="252" w:lineRule="auto"/>
            </w:pPr>
            <w:r>
              <w:rPr>
                <w:b/>
                <w:bCs/>
                <w:sz w:val="20"/>
                <w:szCs w:val="20"/>
              </w:rPr>
              <w:t>Trace</w:t>
            </w:r>
          </w:p>
        </w:tc>
        <w:tc>
          <w:tcPr>
            <w:tcW w:w="1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9700C4C" w14:textId="77777777" w:rsidR="00FB5224" w:rsidRDefault="00000000">
            <w:pPr>
              <w:keepNext/>
              <w:spacing w:line="252" w:lineRule="auto"/>
              <w:jc w:val="center"/>
            </w:pPr>
            <w:r>
              <w:rPr>
                <w:sz w:val="20"/>
                <w:szCs w:val="20"/>
              </w:rPr>
              <w:t>r ≤ 1</w:t>
            </w:r>
          </w:p>
        </w:tc>
        <w:tc>
          <w:tcPr>
            <w:tcW w:w="15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A94ADE8" w14:textId="77777777" w:rsidR="00FB5224" w:rsidRDefault="00000000">
            <w:pPr>
              <w:keepNext/>
              <w:spacing w:line="252" w:lineRule="auto"/>
              <w:jc w:val="center"/>
            </w:pPr>
            <w:r>
              <w:rPr>
                <w:sz w:val="20"/>
                <w:szCs w:val="20"/>
              </w:rPr>
              <w:t>3.342559</w:t>
            </w:r>
          </w:p>
        </w:tc>
        <w:tc>
          <w:tcPr>
            <w:tcW w:w="1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4E05F26" w14:textId="77777777" w:rsidR="00FB5224" w:rsidRDefault="00000000">
            <w:pPr>
              <w:keepNext/>
              <w:spacing w:line="252" w:lineRule="auto"/>
              <w:jc w:val="center"/>
            </w:pPr>
            <w:r>
              <w:rPr>
                <w:sz w:val="20"/>
                <w:szCs w:val="20"/>
              </w:rPr>
              <w:t>3.841465</w:t>
            </w:r>
          </w:p>
        </w:tc>
        <w:tc>
          <w:tcPr>
            <w:tcW w:w="11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EAEDB52" w14:textId="77777777" w:rsidR="00FB5224" w:rsidRDefault="00000000">
            <w:pPr>
              <w:keepNext/>
              <w:spacing w:line="252" w:lineRule="auto"/>
              <w:jc w:val="center"/>
            </w:pPr>
            <w:r>
              <w:rPr>
                <w:sz w:val="20"/>
                <w:szCs w:val="20"/>
              </w:rPr>
              <w:t>0.0675</w:t>
            </w:r>
          </w:p>
        </w:tc>
        <w:tc>
          <w:tcPr>
            <w:tcW w:w="20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5209A35" w14:textId="77777777" w:rsidR="00FB5224" w:rsidRDefault="00000000">
            <w:pPr>
              <w:keepNext/>
              <w:spacing w:line="252" w:lineRule="auto"/>
              <w:jc w:val="center"/>
            </w:pPr>
            <w:r>
              <w:rPr>
                <w:sz w:val="20"/>
                <w:szCs w:val="20"/>
              </w:rPr>
              <w:t>Do not reject</w:t>
            </w:r>
          </w:p>
        </w:tc>
      </w:tr>
      <w:tr w:rsidR="00FB5224" w14:paraId="5E410053" w14:textId="77777777">
        <w:trPr>
          <w:cantSplit/>
        </w:trPr>
        <w:tc>
          <w:tcPr>
            <w:tcW w:w="1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7DD5D1ED" w14:textId="77777777" w:rsidR="00FB5224" w:rsidRDefault="00000000">
            <w:pPr>
              <w:keepNext/>
              <w:spacing w:line="252" w:lineRule="auto"/>
            </w:pPr>
            <w:r>
              <w:rPr>
                <w:b/>
                <w:bCs/>
                <w:sz w:val="20"/>
                <w:szCs w:val="20"/>
              </w:rPr>
              <w:t>Max-eigenvalue</w:t>
            </w:r>
          </w:p>
        </w:tc>
        <w:tc>
          <w:tcPr>
            <w:tcW w:w="1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EE35EA5" w14:textId="77777777" w:rsidR="00FB5224" w:rsidRDefault="00000000">
            <w:pPr>
              <w:keepNext/>
              <w:spacing w:line="252" w:lineRule="auto"/>
              <w:jc w:val="center"/>
            </w:pPr>
            <w:r>
              <w:rPr>
                <w:sz w:val="20"/>
                <w:szCs w:val="20"/>
              </w:rPr>
              <w:t>r = 0</w:t>
            </w:r>
          </w:p>
        </w:tc>
        <w:tc>
          <w:tcPr>
            <w:tcW w:w="15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3B2A8FF" w14:textId="77777777" w:rsidR="00FB5224" w:rsidRDefault="00000000">
            <w:pPr>
              <w:keepNext/>
              <w:spacing w:line="252" w:lineRule="auto"/>
              <w:jc w:val="center"/>
            </w:pPr>
            <w:r>
              <w:rPr>
                <w:sz w:val="20"/>
                <w:szCs w:val="20"/>
              </w:rPr>
              <w:t>17.41213</w:t>
            </w:r>
          </w:p>
        </w:tc>
        <w:tc>
          <w:tcPr>
            <w:tcW w:w="1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380A1C4C" w14:textId="77777777" w:rsidR="00FB5224" w:rsidRDefault="00000000">
            <w:pPr>
              <w:keepNext/>
              <w:spacing w:line="252" w:lineRule="auto"/>
              <w:jc w:val="center"/>
            </w:pPr>
            <w:r>
              <w:rPr>
                <w:sz w:val="20"/>
                <w:szCs w:val="20"/>
              </w:rPr>
              <w:t>14.26460</w:t>
            </w:r>
          </w:p>
        </w:tc>
        <w:tc>
          <w:tcPr>
            <w:tcW w:w="11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76EC6B65" w14:textId="77777777" w:rsidR="00FB5224" w:rsidRDefault="00000000">
            <w:pPr>
              <w:keepNext/>
              <w:spacing w:line="252" w:lineRule="auto"/>
              <w:jc w:val="center"/>
            </w:pPr>
            <w:r>
              <w:rPr>
                <w:sz w:val="20"/>
                <w:szCs w:val="20"/>
              </w:rPr>
              <w:t>0.0154</w:t>
            </w:r>
          </w:p>
        </w:tc>
        <w:tc>
          <w:tcPr>
            <w:tcW w:w="20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6E0EF16" w14:textId="77777777" w:rsidR="00FB5224" w:rsidRDefault="00000000">
            <w:pPr>
              <w:keepNext/>
              <w:spacing w:line="252" w:lineRule="auto"/>
              <w:jc w:val="center"/>
            </w:pPr>
            <w:r>
              <w:rPr>
                <w:sz w:val="20"/>
                <w:szCs w:val="20"/>
              </w:rPr>
              <w:t>Reject r = 0</w:t>
            </w:r>
          </w:p>
        </w:tc>
      </w:tr>
      <w:tr w:rsidR="00FB5224" w14:paraId="024EB590" w14:textId="77777777">
        <w:trPr>
          <w:cantSplit/>
        </w:trPr>
        <w:tc>
          <w:tcPr>
            <w:tcW w:w="17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7EB6481D" w14:textId="77777777" w:rsidR="00FB5224" w:rsidRDefault="00000000">
            <w:pPr>
              <w:spacing w:line="252" w:lineRule="auto"/>
            </w:pPr>
            <w:r>
              <w:rPr>
                <w:b/>
                <w:bCs/>
                <w:sz w:val="20"/>
                <w:szCs w:val="20"/>
              </w:rPr>
              <w:t>Max-eigenvalue</w:t>
            </w:r>
          </w:p>
        </w:tc>
        <w:tc>
          <w:tcPr>
            <w:tcW w:w="10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31F98A2E" w14:textId="77777777" w:rsidR="00FB5224" w:rsidRDefault="00000000">
            <w:pPr>
              <w:spacing w:line="252" w:lineRule="auto"/>
              <w:jc w:val="center"/>
            </w:pPr>
            <w:r>
              <w:rPr>
                <w:sz w:val="20"/>
                <w:szCs w:val="20"/>
              </w:rPr>
              <w:t>r ≤ 1</w:t>
            </w:r>
          </w:p>
        </w:tc>
        <w:tc>
          <w:tcPr>
            <w:tcW w:w="15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4D36D41D" w14:textId="77777777" w:rsidR="00FB5224" w:rsidRDefault="00000000">
            <w:pPr>
              <w:spacing w:line="252" w:lineRule="auto"/>
              <w:jc w:val="center"/>
            </w:pPr>
            <w:r>
              <w:rPr>
                <w:sz w:val="20"/>
                <w:szCs w:val="20"/>
              </w:rPr>
              <w:t>3.342559</w:t>
            </w:r>
          </w:p>
        </w:tc>
        <w:tc>
          <w:tcPr>
            <w:tcW w:w="17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4B74285D" w14:textId="77777777" w:rsidR="00FB5224" w:rsidRDefault="00000000">
            <w:pPr>
              <w:spacing w:line="252" w:lineRule="auto"/>
              <w:jc w:val="center"/>
            </w:pPr>
            <w:r>
              <w:rPr>
                <w:sz w:val="20"/>
                <w:szCs w:val="20"/>
              </w:rPr>
              <w:t>3.841465</w:t>
            </w:r>
          </w:p>
        </w:tc>
        <w:tc>
          <w:tcPr>
            <w:tcW w:w="11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423D4ABB" w14:textId="77777777" w:rsidR="00FB5224" w:rsidRDefault="00000000">
            <w:pPr>
              <w:spacing w:line="252" w:lineRule="auto"/>
              <w:jc w:val="center"/>
            </w:pPr>
            <w:r>
              <w:rPr>
                <w:sz w:val="20"/>
                <w:szCs w:val="20"/>
              </w:rPr>
              <w:t>0.0675</w:t>
            </w:r>
          </w:p>
        </w:tc>
        <w:tc>
          <w:tcPr>
            <w:tcW w:w="202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4468C4B2" w14:textId="77777777" w:rsidR="00FB5224" w:rsidRDefault="00000000">
            <w:pPr>
              <w:spacing w:line="252" w:lineRule="auto"/>
              <w:jc w:val="center"/>
            </w:pPr>
            <w:r>
              <w:rPr>
                <w:sz w:val="20"/>
                <w:szCs w:val="20"/>
              </w:rPr>
              <w:t>Do not reject</w:t>
            </w:r>
          </w:p>
        </w:tc>
      </w:tr>
    </w:tbl>
    <w:p w14:paraId="20980113" w14:textId="77777777" w:rsidR="00FB5224" w:rsidRDefault="00FB522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B5224" w14:paraId="4E1211BD" w14:textId="77777777">
        <w:tc>
          <w:tcPr>
            <w:tcW w:w="9026" w:type="dxa"/>
            <w:gridSpan w:val="2"/>
            <w:tcBorders>
              <w:top w:val="single" w:sz="12" w:space="0" w:color="1F4E79"/>
              <w:left w:val="none" w:sz="0" w:space="0" w:color="FFFFFF"/>
              <w:bottom w:val="single" w:sz="6" w:space="0" w:color="1F4E79"/>
              <w:right w:val="none" w:sz="0" w:space="0" w:color="FFFFFF"/>
            </w:tcBorders>
            <w:shd w:val="clear" w:color="auto" w:fill="1F4E79"/>
            <w:tcMar>
              <w:top w:w="70" w:type="dxa"/>
              <w:left w:w="110" w:type="dxa"/>
              <w:bottom w:w="70" w:type="dxa"/>
              <w:right w:w="110" w:type="dxa"/>
            </w:tcMar>
          </w:tcPr>
          <w:p w14:paraId="026DEC62" w14:textId="77777777" w:rsidR="00FB5224" w:rsidRDefault="00000000">
            <w:pPr>
              <w:keepNext/>
            </w:pPr>
            <w:r>
              <w:rPr>
                <w:b/>
                <w:bCs/>
                <w:color w:val="FFFFFF"/>
                <w:sz w:val="21"/>
                <w:szCs w:val="21"/>
              </w:rPr>
              <w:t>Johansen trace and maximum-eigenvalue tests</w:t>
            </w:r>
          </w:p>
        </w:tc>
      </w:tr>
      <w:tr w:rsidR="00FB5224" w14:paraId="4AAE2B32"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263F6AF6" w14:textId="77777777" w:rsidR="00FB5224" w:rsidRDefault="00000000">
            <w:pPr>
              <w:keepNext/>
              <w:spacing w:line="252" w:lineRule="auto"/>
            </w:pPr>
            <w:r>
              <w:rPr>
                <w:b/>
                <w:bCs/>
                <w:color w:val="1F4E79"/>
                <w:sz w:val="20"/>
                <w:szCs w:val="20"/>
              </w:rPr>
              <w:t>Purpose</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9F72E0A" w14:textId="77777777" w:rsidR="00FB5224" w:rsidRDefault="00000000">
            <w:pPr>
              <w:keepNext/>
              <w:spacing w:line="252" w:lineRule="auto"/>
            </w:pPr>
            <w:r>
              <w:rPr>
                <w:sz w:val="20"/>
                <w:szCs w:val="20"/>
              </w:rPr>
              <w:t>To determine the number of cointegrating vectors among LGDP and LFCE.</w:t>
            </w:r>
          </w:p>
        </w:tc>
      </w:tr>
      <w:tr w:rsidR="00FB5224" w14:paraId="78B0FBFC"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16BBF6C8" w14:textId="77777777" w:rsidR="00FB5224" w:rsidRDefault="00000000">
            <w:pPr>
              <w:keepNext/>
              <w:spacing w:line="252" w:lineRule="auto"/>
            </w:pPr>
            <w:r>
              <w:rPr>
                <w:b/>
                <w:bCs/>
                <w:color w:val="1F4E79"/>
                <w:sz w:val="20"/>
                <w:szCs w:val="20"/>
              </w:rPr>
              <w:t>Null hypotheses</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3F7136C" w14:textId="77777777" w:rsidR="00FB5224" w:rsidRDefault="00000000">
            <w:pPr>
              <w:keepNext/>
              <w:spacing w:line="252" w:lineRule="auto"/>
            </w:pPr>
            <w:r>
              <w:rPr>
                <w:sz w:val="20"/>
                <w:szCs w:val="20"/>
              </w:rPr>
              <w:t>Trace: at most r cointegrating vectors. Maximum eigenvalue: exactly r cointegrating vectors (against r + 1). Sequence starts at r = 0.</w:t>
            </w:r>
          </w:p>
        </w:tc>
      </w:tr>
      <w:tr w:rsidR="00FB5224" w14:paraId="3D427415"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38BFE603" w14:textId="77777777" w:rsidR="00FB5224" w:rsidRDefault="00000000">
            <w:pPr>
              <w:keepNext/>
              <w:spacing w:line="252" w:lineRule="auto"/>
            </w:pPr>
            <w:r>
              <w:rPr>
                <w:b/>
                <w:bCs/>
                <w:color w:val="1F4E79"/>
                <w:sz w:val="20"/>
                <w:szCs w:val="20"/>
              </w:rPr>
              <w:t>Result</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34E7D77C" w14:textId="77777777" w:rsidR="00FB5224" w:rsidRDefault="00000000">
            <w:pPr>
              <w:keepNext/>
              <w:spacing w:line="252" w:lineRule="auto"/>
            </w:pPr>
            <w:r>
              <w:rPr>
                <w:sz w:val="20"/>
                <w:szCs w:val="20"/>
              </w:rPr>
              <w:t>Both tests reject r = 0 (p = 0.0073 and p = 0.0154) and fail to reject r ≤ 1 (p = 0.0675).</w:t>
            </w:r>
          </w:p>
        </w:tc>
      </w:tr>
      <w:tr w:rsidR="00FB5224" w14:paraId="0E8D1A08"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396C20C5" w14:textId="77777777" w:rsidR="00FB5224" w:rsidRDefault="00000000">
            <w:pPr>
              <w:keepNext/>
              <w:spacing w:line="252" w:lineRule="auto"/>
            </w:pPr>
            <w:r>
              <w:rPr>
                <w:b/>
                <w:bCs/>
                <w:color w:val="1F4E79"/>
                <w:sz w:val="20"/>
                <w:szCs w:val="20"/>
              </w:rPr>
              <w:t>Decision</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43208ED" w14:textId="77777777" w:rsidR="00FB5224" w:rsidRDefault="00000000">
            <w:pPr>
              <w:keepNext/>
              <w:spacing w:line="252" w:lineRule="auto"/>
            </w:pPr>
            <w:r>
              <w:rPr>
                <w:sz w:val="20"/>
                <w:szCs w:val="20"/>
              </w:rPr>
              <w:t xml:space="preserve">Both tests select </w:t>
            </w:r>
            <w:r>
              <w:rPr>
                <w:b/>
                <w:bCs/>
                <w:sz w:val="20"/>
                <w:szCs w:val="20"/>
              </w:rPr>
              <w:t>one cointegrating vector</w:t>
            </w:r>
            <w:r>
              <w:rPr>
                <w:sz w:val="20"/>
                <w:szCs w:val="20"/>
              </w:rPr>
              <w:t xml:space="preserve"> (r = 1) at 5%.</w:t>
            </w:r>
          </w:p>
        </w:tc>
      </w:tr>
      <w:tr w:rsidR="00FB5224" w14:paraId="55B38277" w14:textId="77777777">
        <w:trPr>
          <w:cantSplit/>
        </w:trPr>
        <w:tc>
          <w:tcPr>
            <w:tcW w:w="1900" w:type="dxa"/>
            <w:tcBorders>
              <w:top w:val="single" w:sz="4" w:space="0" w:color="BFBFBF"/>
              <w:left w:val="none" w:sz="0" w:space="0" w:color="FFFFFF"/>
              <w:bottom w:val="single" w:sz="12" w:space="0" w:color="1F4E79"/>
              <w:right w:val="none" w:sz="0" w:space="0" w:color="FFFFFF"/>
            </w:tcBorders>
            <w:shd w:val="clear" w:color="auto" w:fill="EAF1F8"/>
            <w:tcMar>
              <w:top w:w="70" w:type="dxa"/>
              <w:left w:w="110" w:type="dxa"/>
              <w:bottom w:w="70" w:type="dxa"/>
              <w:right w:w="110" w:type="dxa"/>
            </w:tcMar>
            <w:vAlign w:val="center"/>
          </w:tcPr>
          <w:p w14:paraId="562C65A5" w14:textId="77777777" w:rsidR="00FB5224" w:rsidRDefault="00000000">
            <w:pPr>
              <w:spacing w:line="252" w:lineRule="auto"/>
            </w:pPr>
            <w:r>
              <w:rPr>
                <w:b/>
                <w:bCs/>
                <w:color w:val="1F4E79"/>
                <w:sz w:val="20"/>
                <w:szCs w:val="20"/>
              </w:rPr>
              <w:t>Implication</w:t>
            </w:r>
          </w:p>
        </w:tc>
        <w:tc>
          <w:tcPr>
            <w:tcW w:w="712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00444263" w14:textId="77777777" w:rsidR="00FB5224" w:rsidRDefault="00000000">
            <w:pPr>
              <w:spacing w:line="252" w:lineRule="auto"/>
            </w:pPr>
            <w:r>
              <w:rPr>
                <w:sz w:val="20"/>
                <w:szCs w:val="20"/>
              </w:rPr>
              <w:t>LGDP and LFCE share a stable long-run equilibrium relationship, supporting a VECM with rank 1.</w:t>
            </w:r>
          </w:p>
        </w:tc>
      </w:tr>
    </w:tbl>
    <w:p w14:paraId="62A0F967" w14:textId="77777777" w:rsidR="00FB5224" w:rsidRDefault="00000000">
      <w:pPr>
        <w:spacing w:before="160" w:after="40"/>
        <w:jc w:val="both"/>
      </w:pPr>
      <w:r>
        <w:rPr>
          <w:b/>
          <w:bCs/>
        </w:rPr>
        <w:t>Normalized long-run relation:</w:t>
      </w:r>
    </w:p>
    <w:p w14:paraId="548CDB67" w14:textId="77777777" w:rsidR="00FB5224" w:rsidRDefault="00000000">
      <w:pPr>
        <w:tabs>
          <w:tab w:val="center" w:pos="4513"/>
          <w:tab w:val="right" w:pos="9026"/>
        </w:tabs>
        <w:spacing w:before="100" w:after="180"/>
      </w:pPr>
      <w:r>
        <w:lastRenderedPageBreak/>
        <w:tab/>
      </w:r>
      <w:r>
        <w:rPr>
          <w:i/>
          <w:iCs/>
        </w:rPr>
        <w:t>LGDP = 1.042816 LFCE − 0.829802</w:t>
      </w:r>
      <w:r>
        <w:tab/>
        <w:t>(4)</w:t>
      </w:r>
    </w:p>
    <w:p w14:paraId="3AC9E957" w14:textId="77777777" w:rsidR="00FB5224" w:rsidRDefault="00000000">
      <w:pPr>
        <w:spacing w:after="140" w:line="300" w:lineRule="auto"/>
        <w:jc w:val="both"/>
      </w:pPr>
      <w:r>
        <w:t>Because both variables are in logs, 1.042816 is a long-run elasticity-type coefficient: a 1% higher level of FCE is associated with approximately a 1.04% higher level of GDP along the long-run equilibrium relationship.</w:t>
      </w:r>
    </w:p>
    <w:p w14:paraId="6F099029" w14:textId="77777777" w:rsidR="00FB5224" w:rsidRDefault="00000000">
      <w:pPr>
        <w:pBdr>
          <w:left w:val="single" w:sz="24" w:space="8" w:color="2E75B6"/>
        </w:pBdr>
        <w:shd w:val="clear" w:color="auto" w:fill="EAF1F8"/>
        <w:spacing w:before="80" w:after="160" w:line="276" w:lineRule="auto"/>
        <w:ind w:left="200" w:right="100"/>
      </w:pPr>
      <w:r>
        <w:rPr>
          <w:b/>
          <w:bCs/>
          <w:color w:val="1F4E79"/>
        </w:rPr>
        <w:t xml:space="preserve">Caution. </w:t>
      </w:r>
      <w:r>
        <w:t>This is an equilibrium association, not by itself proof that consumption causally increases GDP by 1.04%.</w:t>
      </w:r>
    </w:p>
    <w:p w14:paraId="5CEC61C4" w14:textId="77777777" w:rsidR="00FB5224" w:rsidRDefault="00000000">
      <w:pPr>
        <w:pStyle w:val="Heading1"/>
        <w:keepNext/>
      </w:pPr>
      <w:r>
        <w:t>9. Engle–Granger ECM</w:t>
      </w:r>
    </w:p>
    <w:p w14:paraId="736F7331" w14:textId="77777777" w:rsidR="00FB5224" w:rsidRDefault="00000000">
      <w:pPr>
        <w:spacing w:after="140" w:line="300" w:lineRule="auto"/>
        <w:jc w:val="both"/>
      </w:pPr>
      <w:r>
        <w:t>The ECM links short-run changes to the deviation from long-run equilibrium. It was estimated as</w:t>
      </w:r>
    </w:p>
    <w:p w14:paraId="15A31A96" w14:textId="77777777" w:rsidR="00FB5224" w:rsidRDefault="00000000">
      <w:pPr>
        <w:tabs>
          <w:tab w:val="center" w:pos="4513"/>
          <w:tab w:val="right" w:pos="9026"/>
        </w:tabs>
        <w:spacing w:before="100" w:after="180"/>
      </w:pPr>
      <w:r>
        <w:tab/>
      </w:r>
      <w:proofErr w:type="spellStart"/>
      <w:r>
        <w:rPr>
          <w:i/>
          <w:iCs/>
        </w:rPr>
        <w:t>ΔLGDP</w:t>
      </w:r>
      <w:r>
        <w:rPr>
          <w:i/>
          <w:iCs/>
          <w:vertAlign w:val="subscript"/>
        </w:rPr>
        <w:t>t</w:t>
      </w:r>
      <w:proofErr w:type="spellEnd"/>
      <w:r>
        <w:rPr>
          <w:i/>
          <w:iCs/>
        </w:rPr>
        <w:t xml:space="preserve"> = C + β </w:t>
      </w:r>
      <w:proofErr w:type="spellStart"/>
      <w:r>
        <w:rPr>
          <w:i/>
          <w:iCs/>
        </w:rPr>
        <w:t>ΔLFCE</w:t>
      </w:r>
      <w:r>
        <w:rPr>
          <w:i/>
          <w:iCs/>
          <w:vertAlign w:val="subscript"/>
        </w:rPr>
        <w:t>t</w:t>
      </w:r>
      <w:proofErr w:type="spellEnd"/>
      <w:r>
        <w:rPr>
          <w:i/>
          <w:iCs/>
        </w:rPr>
        <w:t xml:space="preserve"> + γ </w:t>
      </w:r>
      <w:proofErr w:type="spellStart"/>
      <w:r>
        <w:rPr>
          <w:i/>
          <w:iCs/>
        </w:rPr>
        <w:t>EG_LAG</w:t>
      </w:r>
      <w:r>
        <w:rPr>
          <w:i/>
          <w:iCs/>
          <w:vertAlign w:val="subscript"/>
        </w:rPr>
        <w:t>t</w:t>
      </w:r>
      <w:proofErr w:type="spellEnd"/>
      <w:r>
        <w:rPr>
          <w:i/>
          <w:iCs/>
        </w:rPr>
        <w:t xml:space="preserve"> + error</w:t>
      </w:r>
      <w:r>
        <w:tab/>
        <w:t>(5)</w:t>
      </w:r>
    </w:p>
    <w:p w14:paraId="2D3FA2AB" w14:textId="77777777" w:rsidR="00FB5224" w:rsidRDefault="00000000">
      <w:pPr>
        <w:spacing w:after="140" w:line="300" w:lineRule="auto"/>
        <w:jc w:val="both"/>
      </w:pPr>
      <w:r>
        <w:t>where EG_LAG is the lagged long-run residual, EGRESID(−1). β captures the short-run association between changes in FCE and GDP; γ is the error-correction coefficient and should be negative and significant if deviations are corrected.</w:t>
      </w:r>
    </w:p>
    <w:p w14:paraId="7D503A1B" w14:textId="77777777" w:rsidR="00FB5224" w:rsidRDefault="00000000">
      <w:pPr>
        <w:keepNext/>
        <w:spacing w:before="160" w:after="80"/>
      </w:pPr>
      <w:r>
        <w:rPr>
          <w:b/>
          <w:bCs/>
          <w:i/>
          <w:iCs/>
          <w:color w:val="1F4E79"/>
          <w:sz w:val="21"/>
          <w:szCs w:val="21"/>
        </w:rPr>
        <w:t>Table 7. ECM estimates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2000"/>
        <w:gridCol w:w="3026"/>
      </w:tblGrid>
      <w:tr w:rsidR="00FB5224" w14:paraId="57127D3A" w14:textId="77777777">
        <w:trPr>
          <w:tblHeader/>
        </w:trPr>
        <w:tc>
          <w:tcPr>
            <w:tcW w:w="25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09D222A9" w14:textId="77777777" w:rsidR="00FB5224" w:rsidRDefault="00000000">
            <w:pPr>
              <w:keepNext/>
              <w:spacing w:line="252" w:lineRule="auto"/>
            </w:pPr>
            <w:r>
              <w:rPr>
                <w:b/>
                <w:bCs/>
                <w:color w:val="1F4E79"/>
                <w:sz w:val="20"/>
                <w:szCs w:val="20"/>
              </w:rPr>
              <w:t>Term</w:t>
            </w:r>
          </w:p>
        </w:tc>
        <w:tc>
          <w:tcPr>
            <w:tcW w:w="15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5D8862D1" w14:textId="77777777" w:rsidR="00FB5224" w:rsidRDefault="00000000">
            <w:pPr>
              <w:keepNext/>
              <w:spacing w:line="252" w:lineRule="auto"/>
            </w:pPr>
            <w:r>
              <w:rPr>
                <w:b/>
                <w:bCs/>
                <w:color w:val="1F4E79"/>
                <w:sz w:val="20"/>
                <w:szCs w:val="20"/>
              </w:rPr>
              <w:t>Coefficient</w:t>
            </w:r>
          </w:p>
        </w:tc>
        <w:tc>
          <w:tcPr>
            <w:tcW w:w="20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5443D952" w14:textId="77777777" w:rsidR="00FB5224" w:rsidRDefault="00000000">
            <w:pPr>
              <w:keepNext/>
              <w:spacing w:line="252" w:lineRule="auto"/>
            </w:pPr>
            <w:r>
              <w:rPr>
                <w:b/>
                <w:bCs/>
                <w:color w:val="1F4E79"/>
                <w:sz w:val="20"/>
                <w:szCs w:val="20"/>
              </w:rPr>
              <w:t>p-value</w:t>
            </w:r>
          </w:p>
        </w:tc>
        <w:tc>
          <w:tcPr>
            <w:tcW w:w="3026"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49F5001F" w14:textId="77777777" w:rsidR="00FB5224" w:rsidRDefault="00000000">
            <w:pPr>
              <w:keepNext/>
              <w:spacing w:line="252" w:lineRule="auto"/>
            </w:pPr>
            <w:r>
              <w:rPr>
                <w:b/>
                <w:bCs/>
                <w:color w:val="1F4E79"/>
                <w:sz w:val="20"/>
                <w:szCs w:val="20"/>
              </w:rPr>
              <w:t>Interpretation</w:t>
            </w:r>
          </w:p>
        </w:tc>
      </w:tr>
      <w:tr w:rsidR="00FB5224" w14:paraId="7A850F48" w14:textId="77777777">
        <w:trPr>
          <w:cantSplit/>
        </w:trPr>
        <w:tc>
          <w:tcPr>
            <w:tcW w:w="25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7B5AFD59" w14:textId="77777777" w:rsidR="00FB5224" w:rsidRDefault="00000000">
            <w:pPr>
              <w:keepNext/>
              <w:spacing w:line="252" w:lineRule="auto"/>
            </w:pPr>
            <w:r>
              <w:rPr>
                <w:b/>
                <w:bCs/>
                <w:sz w:val="20"/>
                <w:szCs w:val="20"/>
              </w:rPr>
              <w:t>Constant</w:t>
            </w:r>
          </w:p>
        </w:tc>
        <w:tc>
          <w:tcPr>
            <w:tcW w:w="15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CB63305" w14:textId="77777777" w:rsidR="00FB5224" w:rsidRDefault="00000000">
            <w:pPr>
              <w:keepNext/>
              <w:spacing w:line="252" w:lineRule="auto"/>
            </w:pPr>
            <w:r>
              <w:rPr>
                <w:sz w:val="20"/>
                <w:szCs w:val="20"/>
              </w:rPr>
              <w:t>0.005984</w:t>
            </w:r>
          </w:p>
        </w:tc>
        <w:tc>
          <w:tcPr>
            <w:tcW w:w="2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4D0320A" w14:textId="77777777" w:rsidR="00FB5224" w:rsidRDefault="00000000">
            <w:pPr>
              <w:keepNext/>
              <w:spacing w:line="252" w:lineRule="auto"/>
            </w:pPr>
            <w:r>
              <w:rPr>
                <w:sz w:val="20"/>
                <w:szCs w:val="20"/>
              </w:rPr>
              <w:t>0.1678</w:t>
            </w:r>
          </w:p>
        </w:tc>
        <w:tc>
          <w:tcPr>
            <w:tcW w:w="30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21C80C6" w14:textId="77777777" w:rsidR="00FB5224" w:rsidRDefault="00000000">
            <w:pPr>
              <w:keepNext/>
              <w:spacing w:line="252" w:lineRule="auto"/>
            </w:pPr>
            <w:r>
              <w:rPr>
                <w:sz w:val="20"/>
                <w:szCs w:val="20"/>
              </w:rPr>
              <w:t>Not significant</w:t>
            </w:r>
          </w:p>
        </w:tc>
      </w:tr>
      <w:tr w:rsidR="00FB5224" w14:paraId="59AC79B4" w14:textId="77777777">
        <w:trPr>
          <w:cantSplit/>
        </w:trPr>
        <w:tc>
          <w:tcPr>
            <w:tcW w:w="25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DA837D0" w14:textId="77777777" w:rsidR="00FB5224" w:rsidRDefault="00000000">
            <w:pPr>
              <w:keepNext/>
              <w:spacing w:line="252" w:lineRule="auto"/>
            </w:pPr>
            <w:r>
              <w:rPr>
                <w:b/>
                <w:bCs/>
                <w:sz w:val="20"/>
                <w:szCs w:val="20"/>
              </w:rPr>
              <w:t>ΔLFCE</w:t>
            </w:r>
          </w:p>
        </w:tc>
        <w:tc>
          <w:tcPr>
            <w:tcW w:w="15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9720DBE" w14:textId="77777777" w:rsidR="00FB5224" w:rsidRDefault="00000000">
            <w:pPr>
              <w:keepNext/>
              <w:spacing w:line="252" w:lineRule="auto"/>
            </w:pPr>
            <w:r>
              <w:rPr>
                <w:sz w:val="20"/>
                <w:szCs w:val="20"/>
              </w:rPr>
              <w:t>0.960486</w:t>
            </w:r>
          </w:p>
        </w:tc>
        <w:tc>
          <w:tcPr>
            <w:tcW w:w="2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785EA12" w14:textId="77777777" w:rsidR="00FB5224" w:rsidRDefault="00000000">
            <w:pPr>
              <w:keepNext/>
              <w:spacing w:line="252" w:lineRule="auto"/>
            </w:pPr>
            <w:r>
              <w:rPr>
                <w:sz w:val="20"/>
                <w:szCs w:val="20"/>
              </w:rPr>
              <w:t>0.0000 (p &lt; 0.001)</w:t>
            </w:r>
          </w:p>
        </w:tc>
        <w:tc>
          <w:tcPr>
            <w:tcW w:w="30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77718948" w14:textId="77777777" w:rsidR="00FB5224" w:rsidRDefault="00000000">
            <w:pPr>
              <w:keepNext/>
              <w:spacing w:line="252" w:lineRule="auto"/>
            </w:pPr>
            <w:r>
              <w:rPr>
                <w:sz w:val="20"/>
                <w:szCs w:val="20"/>
              </w:rPr>
              <w:t>Strong positive short-run association</w:t>
            </w:r>
          </w:p>
        </w:tc>
      </w:tr>
      <w:tr w:rsidR="00FB5224" w14:paraId="39BC63F5" w14:textId="77777777">
        <w:trPr>
          <w:cantSplit/>
        </w:trPr>
        <w:tc>
          <w:tcPr>
            <w:tcW w:w="25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48C5D39E" w14:textId="77777777" w:rsidR="00FB5224" w:rsidRDefault="00000000">
            <w:pPr>
              <w:spacing w:line="252" w:lineRule="auto"/>
            </w:pPr>
            <w:r>
              <w:rPr>
                <w:b/>
                <w:bCs/>
                <w:sz w:val="20"/>
                <w:szCs w:val="20"/>
              </w:rPr>
              <w:t>EG_LAG (error correction)</w:t>
            </w:r>
          </w:p>
        </w:tc>
        <w:tc>
          <w:tcPr>
            <w:tcW w:w="15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68543D72" w14:textId="77777777" w:rsidR="00FB5224" w:rsidRDefault="00000000">
            <w:pPr>
              <w:spacing w:line="252" w:lineRule="auto"/>
            </w:pPr>
            <w:r>
              <w:rPr>
                <w:sz w:val="20"/>
                <w:szCs w:val="20"/>
              </w:rPr>
              <w:t>−0.420759</w:t>
            </w:r>
          </w:p>
        </w:tc>
        <w:tc>
          <w:tcPr>
            <w:tcW w:w="20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02C63195" w14:textId="77777777" w:rsidR="00FB5224" w:rsidRDefault="00000000">
            <w:pPr>
              <w:spacing w:line="252" w:lineRule="auto"/>
            </w:pPr>
            <w:r>
              <w:rPr>
                <w:sz w:val="20"/>
                <w:szCs w:val="20"/>
              </w:rPr>
              <w:t>0.0010</w:t>
            </w:r>
          </w:p>
        </w:tc>
        <w:tc>
          <w:tcPr>
            <w:tcW w:w="302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0868DB94" w14:textId="77777777" w:rsidR="00FB5224" w:rsidRDefault="00000000">
            <w:pPr>
              <w:spacing w:line="252" w:lineRule="auto"/>
            </w:pPr>
            <w:r>
              <w:rPr>
                <w:sz w:val="20"/>
                <w:szCs w:val="20"/>
              </w:rPr>
              <w:t>Significant negative adjustment term</w:t>
            </w:r>
          </w:p>
        </w:tc>
      </w:tr>
    </w:tbl>
    <w:p w14:paraId="0B537867" w14:textId="77777777" w:rsidR="00FB5224" w:rsidRDefault="00FB5224">
      <w:pPr>
        <w:spacing w:after="120"/>
      </w:pPr>
    </w:p>
    <w:p w14:paraId="1C3EB9C6" w14:textId="77777777" w:rsidR="00FB5224" w:rsidRDefault="00000000">
      <w:pPr>
        <w:spacing w:after="140" w:line="300" w:lineRule="auto"/>
        <w:jc w:val="both"/>
      </w:pPr>
      <w:r>
        <w:t xml:space="preserve">Each coefficient is tested against the null that it equals zero. The ΔLFCE coefficient is highly significant, and the error-correction coefficient is negative and significant at the 1% level. Roughly </w:t>
      </w:r>
      <w:r>
        <w:rPr>
          <w:b/>
          <w:bCs/>
        </w:rPr>
        <w:t>42.1% of the previous period’s disequilibrium is corrected per year</w:t>
      </w:r>
      <w:r>
        <w:t>, subject to the model specification.</w:t>
      </w:r>
    </w:p>
    <w:p w14:paraId="2D6996CE" w14:textId="77777777" w:rsidR="00FB5224" w:rsidRDefault="00000000">
      <w:pPr>
        <w:pBdr>
          <w:left w:val="single" w:sz="24" w:space="8" w:color="2E75B6"/>
        </w:pBdr>
        <w:shd w:val="clear" w:color="auto" w:fill="EAF1F8"/>
        <w:spacing w:before="80" w:after="160" w:line="276" w:lineRule="auto"/>
        <w:ind w:left="200" w:right="100"/>
      </w:pPr>
      <w:r>
        <w:rPr>
          <w:b/>
          <w:bCs/>
          <w:color w:val="1F4E79"/>
        </w:rPr>
        <w:t xml:space="preserve">Economic intuition. </w:t>
      </w:r>
      <w:r>
        <w:t>Changes in consumption and changes in GDP move strongly together in the short run. When GDP is above or below the long-run equilibrium implied by the model, subsequent changes tend to push the system back toward equilibrium.</w:t>
      </w:r>
    </w:p>
    <w:p w14:paraId="46CB2751" w14:textId="77777777" w:rsidR="00FB5224" w:rsidRDefault="00000000">
      <w:pPr>
        <w:pBdr>
          <w:left w:val="single" w:sz="24" w:space="8" w:color="2E75B6"/>
        </w:pBdr>
        <w:shd w:val="clear" w:color="auto" w:fill="EAF1F8"/>
        <w:spacing w:before="80" w:after="160" w:line="276" w:lineRule="auto"/>
        <w:ind w:left="200" w:right="100"/>
      </w:pPr>
      <w:r>
        <w:rPr>
          <w:b/>
          <w:bCs/>
          <w:color w:val="1F4E79"/>
        </w:rPr>
        <w:t xml:space="preserve">Caveat. </w:t>
      </w:r>
      <w:r>
        <w:t>The ECM is built on the Engle–Granger residual, whose cointegration evidence was significant only at 10% and not at 5% (Section 6). The ECM adjustment result is therefore best read alongside the stronger Johansen evidence (Section 8).</w:t>
      </w:r>
    </w:p>
    <w:p w14:paraId="7AB01707" w14:textId="77777777" w:rsidR="00FB5224" w:rsidRDefault="00000000">
      <w:pPr>
        <w:pStyle w:val="Heading1"/>
        <w:keepNext/>
      </w:pPr>
      <w:r>
        <w:t>10. Vector Error-Correction Model (VECM)</w:t>
      </w:r>
    </w:p>
    <w:p w14:paraId="5070681F" w14:textId="77777777" w:rsidR="00FB5224" w:rsidRDefault="00000000">
      <w:pPr>
        <w:spacing w:after="140" w:line="300" w:lineRule="auto"/>
        <w:jc w:val="both"/>
      </w:pPr>
      <w:r>
        <w:rPr>
          <w:b/>
          <w:bCs/>
        </w:rPr>
        <w:t>Link to the earlier tests.</w:t>
      </w:r>
      <w:r>
        <w:t xml:space="preserve"> The VECM in this section is built on the Johansen rank-one result, which is significant at 5% (Section 8), and not on the Engle–Granger residual. The Engle–Granger ECM in Section 9 uses the single-equation residual EGRESID, whose cointegration evidence is significant only at 10% (Section 6). The two approaches are therefore distinct, and the VECM is the main multivariate framework.</w:t>
      </w:r>
    </w:p>
    <w:p w14:paraId="03573B6A" w14:textId="77777777" w:rsidR="00FB5224" w:rsidRDefault="00000000">
      <w:pPr>
        <w:spacing w:after="140" w:line="300" w:lineRule="auto"/>
        <w:jc w:val="both"/>
      </w:pPr>
      <w:r>
        <w:lastRenderedPageBreak/>
        <w:t>A VECM is appropriate here because both variables are I(1) and the Johansen tests identify one cointegrating relation. Modelling the variables in first differences alone would discard long-run information, while modelling levels in an unrestricted VAR would ignore the cointegration restriction. The VECM keeps both: it uses rank 1, the VAR(1)-consistent first-difference lag interval 0 0, and the same deterministic specification as the final Johansen test. The long-run equation is the Johansen normalization:</w:t>
      </w:r>
    </w:p>
    <w:p w14:paraId="448F164B" w14:textId="77777777" w:rsidR="00FB5224" w:rsidRDefault="00000000">
      <w:pPr>
        <w:tabs>
          <w:tab w:val="center" w:pos="4513"/>
          <w:tab w:val="right" w:pos="9026"/>
        </w:tabs>
        <w:spacing w:before="100" w:after="180"/>
      </w:pPr>
      <w:r>
        <w:tab/>
      </w:r>
      <w:r>
        <w:rPr>
          <w:i/>
          <w:iCs/>
        </w:rPr>
        <w:t>LGDP(−1) − 1.042816 LFCE(−1) + 0.829802 = 0</w:t>
      </w:r>
      <w:r>
        <w:tab/>
        <w:t>(6)</w:t>
      </w:r>
    </w:p>
    <w:p w14:paraId="40570B58" w14:textId="77777777" w:rsidR="00FB5224" w:rsidRDefault="00000000">
      <w:pPr>
        <w:keepNext/>
        <w:spacing w:before="160" w:after="80"/>
      </w:pPr>
      <w:r>
        <w:rPr>
          <w:b/>
          <w:bCs/>
          <w:i/>
          <w:iCs/>
          <w:color w:val="1F4E79"/>
          <w:sz w:val="21"/>
          <w:szCs w:val="21"/>
        </w:rPr>
        <w:t>Table 8. VECM error-correction coefficients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26"/>
      </w:tblGrid>
      <w:tr w:rsidR="00FB5224" w14:paraId="087CA88A" w14:textId="77777777">
        <w:trPr>
          <w:tblHeader/>
        </w:trPr>
        <w:tc>
          <w:tcPr>
            <w:tcW w:w="25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665B0F79" w14:textId="77777777" w:rsidR="00FB5224" w:rsidRDefault="00000000">
            <w:pPr>
              <w:keepNext/>
              <w:spacing w:line="252" w:lineRule="auto"/>
            </w:pPr>
            <w:r>
              <w:rPr>
                <w:b/>
                <w:bCs/>
                <w:color w:val="1F4E79"/>
                <w:sz w:val="20"/>
                <w:szCs w:val="20"/>
              </w:rPr>
              <w:t>Equation</w:t>
            </w:r>
          </w:p>
        </w:tc>
        <w:tc>
          <w:tcPr>
            <w:tcW w:w="20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4E6D935C" w14:textId="77777777" w:rsidR="00FB5224" w:rsidRDefault="00000000">
            <w:pPr>
              <w:keepNext/>
              <w:spacing w:line="252" w:lineRule="auto"/>
              <w:jc w:val="center"/>
            </w:pPr>
            <w:r>
              <w:rPr>
                <w:b/>
                <w:bCs/>
                <w:color w:val="1F4E79"/>
                <w:sz w:val="20"/>
                <w:szCs w:val="20"/>
              </w:rPr>
              <w:t>Coefficient</w:t>
            </w:r>
          </w:p>
        </w:tc>
        <w:tc>
          <w:tcPr>
            <w:tcW w:w="20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5CBB1AAB" w14:textId="77777777" w:rsidR="00FB5224" w:rsidRDefault="00000000">
            <w:pPr>
              <w:keepNext/>
              <w:spacing w:line="252" w:lineRule="auto"/>
              <w:jc w:val="center"/>
            </w:pPr>
            <w:r>
              <w:rPr>
                <w:b/>
                <w:bCs/>
                <w:color w:val="1F4E79"/>
                <w:sz w:val="20"/>
                <w:szCs w:val="20"/>
              </w:rPr>
              <w:t>t-statistic</w:t>
            </w:r>
          </w:p>
        </w:tc>
        <w:tc>
          <w:tcPr>
            <w:tcW w:w="2526"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10FB01B1" w14:textId="77777777" w:rsidR="00FB5224" w:rsidRDefault="00000000">
            <w:pPr>
              <w:keepNext/>
              <w:spacing w:line="252" w:lineRule="auto"/>
              <w:jc w:val="center"/>
            </w:pPr>
            <w:r>
              <w:rPr>
                <w:b/>
                <w:bCs/>
                <w:color w:val="1F4E79"/>
                <w:sz w:val="20"/>
                <w:szCs w:val="20"/>
              </w:rPr>
              <w:t>Significance at 5%</w:t>
            </w:r>
          </w:p>
        </w:tc>
      </w:tr>
      <w:tr w:rsidR="00FB5224" w14:paraId="405E8002" w14:textId="77777777">
        <w:trPr>
          <w:cantSplit/>
        </w:trPr>
        <w:tc>
          <w:tcPr>
            <w:tcW w:w="25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315A6351" w14:textId="77777777" w:rsidR="00FB5224" w:rsidRDefault="00000000">
            <w:pPr>
              <w:keepNext/>
              <w:spacing w:line="252" w:lineRule="auto"/>
            </w:pPr>
            <w:r>
              <w:rPr>
                <w:b/>
                <w:bCs/>
                <w:sz w:val="20"/>
                <w:szCs w:val="20"/>
              </w:rPr>
              <w:t>ΔLGDP</w:t>
            </w:r>
          </w:p>
        </w:tc>
        <w:tc>
          <w:tcPr>
            <w:tcW w:w="2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73A0E234" w14:textId="77777777" w:rsidR="00FB5224" w:rsidRDefault="00000000">
            <w:pPr>
              <w:keepNext/>
              <w:spacing w:line="252" w:lineRule="auto"/>
              <w:jc w:val="center"/>
            </w:pPr>
            <w:r>
              <w:rPr>
                <w:sz w:val="20"/>
                <w:szCs w:val="20"/>
              </w:rPr>
              <w:t>0.709148</w:t>
            </w:r>
          </w:p>
        </w:tc>
        <w:tc>
          <w:tcPr>
            <w:tcW w:w="2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7E12E58A" w14:textId="77777777" w:rsidR="00FB5224" w:rsidRDefault="00000000">
            <w:pPr>
              <w:keepNext/>
              <w:spacing w:line="252" w:lineRule="auto"/>
              <w:jc w:val="center"/>
            </w:pPr>
            <w:r>
              <w:rPr>
                <w:sz w:val="20"/>
                <w:szCs w:val="20"/>
              </w:rPr>
              <w:t>1.63067</w:t>
            </w:r>
          </w:p>
        </w:tc>
        <w:tc>
          <w:tcPr>
            <w:tcW w:w="25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35FCDAB1" w14:textId="77777777" w:rsidR="00FB5224" w:rsidRDefault="00000000">
            <w:pPr>
              <w:keepNext/>
              <w:spacing w:line="252" w:lineRule="auto"/>
              <w:jc w:val="center"/>
            </w:pPr>
            <w:r>
              <w:rPr>
                <w:sz w:val="20"/>
                <w:szCs w:val="20"/>
              </w:rPr>
              <w:t>Not significant</w:t>
            </w:r>
          </w:p>
        </w:tc>
      </w:tr>
      <w:tr w:rsidR="00FB5224" w14:paraId="7008710C" w14:textId="77777777">
        <w:trPr>
          <w:cantSplit/>
        </w:trPr>
        <w:tc>
          <w:tcPr>
            <w:tcW w:w="25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0461A00D" w14:textId="77777777" w:rsidR="00FB5224" w:rsidRDefault="00000000">
            <w:pPr>
              <w:spacing w:line="252" w:lineRule="auto"/>
            </w:pPr>
            <w:r>
              <w:rPr>
                <w:b/>
                <w:bCs/>
                <w:sz w:val="20"/>
                <w:szCs w:val="20"/>
              </w:rPr>
              <w:t>ΔLFCE</w:t>
            </w:r>
          </w:p>
        </w:tc>
        <w:tc>
          <w:tcPr>
            <w:tcW w:w="20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3045C59A" w14:textId="77777777" w:rsidR="00FB5224" w:rsidRDefault="00000000">
            <w:pPr>
              <w:spacing w:line="252" w:lineRule="auto"/>
              <w:jc w:val="center"/>
            </w:pPr>
            <w:r>
              <w:rPr>
                <w:sz w:val="20"/>
                <w:szCs w:val="20"/>
              </w:rPr>
              <w:t>1.155724</w:t>
            </w:r>
          </w:p>
        </w:tc>
        <w:tc>
          <w:tcPr>
            <w:tcW w:w="20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7FBA653B" w14:textId="77777777" w:rsidR="00FB5224" w:rsidRDefault="00000000">
            <w:pPr>
              <w:spacing w:line="252" w:lineRule="auto"/>
              <w:jc w:val="center"/>
            </w:pPr>
            <w:r>
              <w:rPr>
                <w:sz w:val="20"/>
                <w:szCs w:val="20"/>
              </w:rPr>
              <w:t>2.65283</w:t>
            </w:r>
          </w:p>
        </w:tc>
        <w:tc>
          <w:tcPr>
            <w:tcW w:w="252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2CCA82CB" w14:textId="77777777" w:rsidR="00FB5224" w:rsidRDefault="00000000">
            <w:pPr>
              <w:spacing w:line="252" w:lineRule="auto"/>
              <w:jc w:val="center"/>
            </w:pPr>
            <w:r>
              <w:rPr>
                <w:sz w:val="20"/>
                <w:szCs w:val="20"/>
              </w:rPr>
              <w:t>Significant</w:t>
            </w:r>
          </w:p>
        </w:tc>
      </w:tr>
    </w:tbl>
    <w:p w14:paraId="0EE5C842" w14:textId="77777777" w:rsidR="00FB5224" w:rsidRDefault="00FB522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B5224" w14:paraId="5AD22231" w14:textId="77777777">
        <w:tc>
          <w:tcPr>
            <w:tcW w:w="9026" w:type="dxa"/>
            <w:gridSpan w:val="2"/>
            <w:tcBorders>
              <w:top w:val="single" w:sz="12" w:space="0" w:color="1F4E79"/>
              <w:left w:val="none" w:sz="0" w:space="0" w:color="FFFFFF"/>
              <w:bottom w:val="single" w:sz="6" w:space="0" w:color="1F4E79"/>
              <w:right w:val="none" w:sz="0" w:space="0" w:color="FFFFFF"/>
            </w:tcBorders>
            <w:shd w:val="clear" w:color="auto" w:fill="1F4E79"/>
            <w:tcMar>
              <w:top w:w="70" w:type="dxa"/>
              <w:left w:w="110" w:type="dxa"/>
              <w:bottom w:w="70" w:type="dxa"/>
              <w:right w:w="110" w:type="dxa"/>
            </w:tcMar>
          </w:tcPr>
          <w:p w14:paraId="204038DC" w14:textId="77777777" w:rsidR="00FB5224" w:rsidRDefault="00000000">
            <w:pPr>
              <w:keepNext/>
            </w:pPr>
            <w:r>
              <w:rPr>
                <w:b/>
                <w:bCs/>
                <w:color w:val="FFFFFF"/>
                <w:sz w:val="21"/>
                <w:szCs w:val="21"/>
              </w:rPr>
              <w:t>Significance of the VECM adjustment coefficients</w:t>
            </w:r>
          </w:p>
        </w:tc>
      </w:tr>
      <w:tr w:rsidR="00FB5224" w14:paraId="0F85BFEF"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4A769C93" w14:textId="77777777" w:rsidR="00FB5224" w:rsidRDefault="00000000">
            <w:pPr>
              <w:keepNext/>
              <w:spacing w:line="252" w:lineRule="auto"/>
            </w:pPr>
            <w:r>
              <w:rPr>
                <w:b/>
                <w:bCs/>
                <w:color w:val="1F4E79"/>
                <w:sz w:val="20"/>
                <w:szCs w:val="20"/>
              </w:rPr>
              <w:t>Purpose</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3618706" w14:textId="77777777" w:rsidR="00FB5224" w:rsidRDefault="00000000">
            <w:pPr>
              <w:keepNext/>
              <w:spacing w:line="252" w:lineRule="auto"/>
            </w:pPr>
            <w:r>
              <w:rPr>
                <w:sz w:val="20"/>
                <w:szCs w:val="20"/>
              </w:rPr>
              <w:t>To identify which variable responds to deviations from the long-run equilibrium.</w:t>
            </w:r>
          </w:p>
        </w:tc>
      </w:tr>
      <w:tr w:rsidR="00FB5224" w14:paraId="5366BCB0"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1920E3A2" w14:textId="77777777" w:rsidR="00FB5224" w:rsidRDefault="00000000">
            <w:pPr>
              <w:keepNext/>
              <w:spacing w:line="252" w:lineRule="auto"/>
            </w:pPr>
            <w:r>
              <w:rPr>
                <w:b/>
                <w:bCs/>
                <w:color w:val="1F4E79"/>
                <w:sz w:val="20"/>
                <w:szCs w:val="20"/>
              </w:rPr>
              <w:t>Null hypothesis</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DC96CFC" w14:textId="77777777" w:rsidR="00FB5224" w:rsidRDefault="00000000">
            <w:pPr>
              <w:keepNext/>
              <w:spacing w:line="252" w:lineRule="auto"/>
            </w:pPr>
            <w:r>
              <w:rPr>
                <w:sz w:val="20"/>
                <w:szCs w:val="20"/>
              </w:rPr>
              <w:t>The adjustment coefficient equals zero (the variable does not respond to the equilibrium deviation).</w:t>
            </w:r>
          </w:p>
        </w:tc>
      </w:tr>
      <w:tr w:rsidR="00FB5224" w14:paraId="3271D4E0"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27618E2C" w14:textId="77777777" w:rsidR="00FB5224" w:rsidRDefault="00000000">
            <w:pPr>
              <w:keepNext/>
              <w:spacing w:line="252" w:lineRule="auto"/>
            </w:pPr>
            <w:r>
              <w:rPr>
                <w:b/>
                <w:bCs/>
                <w:color w:val="1F4E79"/>
                <w:sz w:val="20"/>
                <w:szCs w:val="20"/>
              </w:rPr>
              <w:t>Result</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497E67A" w14:textId="77777777" w:rsidR="00FB5224" w:rsidRDefault="00000000">
            <w:pPr>
              <w:keepNext/>
              <w:spacing w:line="252" w:lineRule="auto"/>
            </w:pPr>
            <w:r>
              <w:rPr>
                <w:sz w:val="20"/>
                <w:szCs w:val="20"/>
              </w:rPr>
              <w:t>ΔLGDP: 0.709148 (t = 1.63067). ΔLFCE: 1.155724 (t = 2.65283).</w:t>
            </w:r>
          </w:p>
        </w:tc>
      </w:tr>
      <w:tr w:rsidR="00FB5224" w14:paraId="11E237C2"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54006732" w14:textId="77777777" w:rsidR="00FB5224" w:rsidRDefault="00000000">
            <w:pPr>
              <w:keepNext/>
              <w:spacing w:line="252" w:lineRule="auto"/>
            </w:pPr>
            <w:r>
              <w:rPr>
                <w:b/>
                <w:bCs/>
                <w:color w:val="1F4E79"/>
                <w:sz w:val="20"/>
                <w:szCs w:val="20"/>
              </w:rPr>
              <w:t>Decision</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E83D07E" w14:textId="77777777" w:rsidR="00FB5224" w:rsidRDefault="00000000">
            <w:pPr>
              <w:keepNext/>
              <w:spacing w:line="252" w:lineRule="auto"/>
            </w:pPr>
            <w:r>
              <w:rPr>
                <w:sz w:val="20"/>
                <w:szCs w:val="20"/>
              </w:rPr>
              <w:t>Not rejected for ΔLGDP; rejected at 5% for ΔLFCE.</w:t>
            </w:r>
          </w:p>
        </w:tc>
      </w:tr>
      <w:tr w:rsidR="00FB5224" w14:paraId="3F1357EF" w14:textId="77777777">
        <w:trPr>
          <w:cantSplit/>
        </w:trPr>
        <w:tc>
          <w:tcPr>
            <w:tcW w:w="1900" w:type="dxa"/>
            <w:tcBorders>
              <w:top w:val="single" w:sz="4" w:space="0" w:color="BFBFBF"/>
              <w:left w:val="none" w:sz="0" w:space="0" w:color="FFFFFF"/>
              <w:bottom w:val="single" w:sz="12" w:space="0" w:color="1F4E79"/>
              <w:right w:val="none" w:sz="0" w:space="0" w:color="FFFFFF"/>
            </w:tcBorders>
            <w:shd w:val="clear" w:color="auto" w:fill="EAF1F8"/>
            <w:tcMar>
              <w:top w:w="70" w:type="dxa"/>
              <w:left w:w="110" w:type="dxa"/>
              <w:bottom w:w="70" w:type="dxa"/>
              <w:right w:w="110" w:type="dxa"/>
            </w:tcMar>
            <w:vAlign w:val="center"/>
          </w:tcPr>
          <w:p w14:paraId="2E81D9FB" w14:textId="77777777" w:rsidR="00FB5224" w:rsidRDefault="00000000">
            <w:pPr>
              <w:spacing w:line="252" w:lineRule="auto"/>
            </w:pPr>
            <w:r>
              <w:rPr>
                <w:b/>
                <w:bCs/>
                <w:color w:val="1F4E79"/>
                <w:sz w:val="20"/>
                <w:szCs w:val="20"/>
              </w:rPr>
              <w:t>Implication</w:t>
            </w:r>
          </w:p>
        </w:tc>
        <w:tc>
          <w:tcPr>
            <w:tcW w:w="712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4694371E" w14:textId="77777777" w:rsidR="00FB5224" w:rsidRDefault="00000000">
            <w:pPr>
              <w:spacing w:line="252" w:lineRule="auto"/>
            </w:pPr>
            <w:r>
              <w:rPr>
                <w:sz w:val="20"/>
                <w:szCs w:val="20"/>
              </w:rPr>
              <w:t>LFCE significantly responds to equilibrium deviations, whereas GDP does not at 5%.</w:t>
            </w:r>
          </w:p>
        </w:tc>
      </w:tr>
    </w:tbl>
    <w:p w14:paraId="64214416" w14:textId="77777777" w:rsidR="00FB5224" w:rsidRDefault="00000000">
      <w:pPr>
        <w:pBdr>
          <w:left w:val="single" w:sz="24" w:space="8" w:color="2E75B6"/>
        </w:pBdr>
        <w:shd w:val="clear" w:color="auto" w:fill="EAF1F8"/>
        <w:spacing w:before="80" w:after="160" w:line="276" w:lineRule="auto"/>
        <w:ind w:left="200" w:right="100"/>
      </w:pPr>
      <w:r>
        <w:rPr>
          <w:b/>
          <w:bCs/>
          <w:color w:val="1F4E79"/>
        </w:rPr>
        <w:t xml:space="preserve">Interpretation warning. </w:t>
      </w:r>
      <w:r>
        <w:t xml:space="preserve">These positive coefficients should </w:t>
      </w:r>
      <w:r>
        <w:rPr>
          <w:b/>
          <w:bCs/>
        </w:rPr>
        <w:t>not</w:t>
      </w:r>
      <w:r>
        <w:t xml:space="preserve"> be read as “70.9%” or “115.6%” correction speeds. Under the EViews normalization used here, their positive signs do not support that simple correction-speed interpretation. The safer conclusion is that consumption expenditure bears more of the statistically identifiable short-run adjustment toward the long-run equilibrium, while GDP does not significantly adjust through the estimated error-correction channel.</w:t>
      </w:r>
    </w:p>
    <w:p w14:paraId="6B3DFF25" w14:textId="77777777" w:rsidR="00FB5224" w:rsidRDefault="00000000">
      <w:pPr>
        <w:pStyle w:val="Heading1"/>
        <w:keepNext/>
      </w:pPr>
      <w:r>
        <w:t>11. Toda–Yamamoto Causality</w:t>
      </w:r>
    </w:p>
    <w:p w14:paraId="447211A6" w14:textId="77777777" w:rsidR="00FB5224" w:rsidRDefault="00000000">
      <w:pPr>
        <w:spacing w:after="140" w:line="300" w:lineRule="auto"/>
        <w:jc w:val="both"/>
      </w:pPr>
      <w:r>
        <w:t xml:space="preserve">Granger causality asks whether past values of one variable provide statistically significant incremental predictive information for another. With I(1) variables, standard Wald tests can be invalid; the Toda–Yamamoto (TY) approach estimates an augmented VAR of order k + </w:t>
      </w:r>
      <w:proofErr w:type="spellStart"/>
      <w:r>
        <w:t>dmax</w:t>
      </w:r>
      <w:proofErr w:type="spellEnd"/>
      <w:r>
        <w:t xml:space="preserve"> and applies a modified Wald test only to the first k lags. Here k = 1 (the AIC-selected VAR order) and </w:t>
      </w:r>
      <w:proofErr w:type="spellStart"/>
      <w:r>
        <w:t>dmax</w:t>
      </w:r>
      <w:proofErr w:type="spellEnd"/>
      <w:r>
        <w:t xml:space="preserve"> = 1 (the maximum order of integration from the ADF results), giving an </w:t>
      </w:r>
      <w:r>
        <w:rPr>
          <w:b/>
          <w:bCs/>
        </w:rPr>
        <w:t>augmented VAR(2)</w:t>
      </w:r>
      <w:r>
        <w:t xml:space="preserve"> with lag interval 1 2 and a constant as exogenous variable.</w:t>
      </w:r>
    </w:p>
    <w:p w14:paraId="671BD3A9" w14:textId="77777777" w:rsidR="00FB5224" w:rsidRDefault="00000000">
      <w:pPr>
        <w:keepNext/>
        <w:spacing w:before="160" w:after="80"/>
      </w:pPr>
      <w:r>
        <w:rPr>
          <w:b/>
          <w:bCs/>
          <w:i/>
          <w:iCs/>
          <w:color w:val="1F4E79"/>
          <w:sz w:val="21"/>
          <w:szCs w:val="21"/>
        </w:rPr>
        <w:t>Table 9. Modified Wald tests (first k = 1 lag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700"/>
        <w:gridCol w:w="1700"/>
        <w:gridCol w:w="2026"/>
      </w:tblGrid>
      <w:tr w:rsidR="00FB5224" w14:paraId="483A2A95" w14:textId="77777777">
        <w:trPr>
          <w:tblHeader/>
        </w:trPr>
        <w:tc>
          <w:tcPr>
            <w:tcW w:w="36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3193E9BD" w14:textId="77777777" w:rsidR="00FB5224" w:rsidRDefault="00000000">
            <w:pPr>
              <w:keepNext/>
              <w:spacing w:line="252" w:lineRule="auto"/>
            </w:pPr>
            <w:r>
              <w:rPr>
                <w:b/>
                <w:bCs/>
                <w:color w:val="1F4E79"/>
                <w:sz w:val="20"/>
                <w:szCs w:val="20"/>
              </w:rPr>
              <w:t>Null hypothesis</w:t>
            </w:r>
          </w:p>
        </w:tc>
        <w:tc>
          <w:tcPr>
            <w:tcW w:w="17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127ACE5B" w14:textId="77777777" w:rsidR="00FB5224" w:rsidRDefault="00000000">
            <w:pPr>
              <w:keepNext/>
              <w:spacing w:line="252" w:lineRule="auto"/>
            </w:pPr>
            <w:r>
              <w:rPr>
                <w:b/>
                <w:bCs/>
                <w:color w:val="1F4E79"/>
                <w:sz w:val="20"/>
                <w:szCs w:val="20"/>
              </w:rPr>
              <w:t>Wald statistic</w:t>
            </w:r>
          </w:p>
        </w:tc>
        <w:tc>
          <w:tcPr>
            <w:tcW w:w="17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0C4B329B" w14:textId="77777777" w:rsidR="00FB5224" w:rsidRDefault="00000000">
            <w:pPr>
              <w:keepNext/>
              <w:spacing w:line="252" w:lineRule="auto"/>
            </w:pPr>
            <w:r>
              <w:rPr>
                <w:b/>
                <w:bCs/>
                <w:color w:val="1F4E79"/>
                <w:sz w:val="20"/>
                <w:szCs w:val="20"/>
              </w:rPr>
              <w:t>p-value</w:t>
            </w:r>
          </w:p>
        </w:tc>
        <w:tc>
          <w:tcPr>
            <w:tcW w:w="2026"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3BE12AF7" w14:textId="77777777" w:rsidR="00FB5224" w:rsidRDefault="00000000">
            <w:pPr>
              <w:keepNext/>
              <w:spacing w:line="252" w:lineRule="auto"/>
            </w:pPr>
            <w:r>
              <w:rPr>
                <w:b/>
                <w:bCs/>
                <w:color w:val="1F4E79"/>
                <w:sz w:val="20"/>
                <w:szCs w:val="20"/>
              </w:rPr>
              <w:t>Decision</w:t>
            </w:r>
          </w:p>
        </w:tc>
      </w:tr>
      <w:tr w:rsidR="00FB5224" w14:paraId="044ED26B" w14:textId="77777777">
        <w:trPr>
          <w:cantSplit/>
        </w:trPr>
        <w:tc>
          <w:tcPr>
            <w:tcW w:w="36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7A8082B2" w14:textId="77777777" w:rsidR="00FB5224" w:rsidRDefault="00000000">
            <w:pPr>
              <w:keepNext/>
              <w:spacing w:line="252" w:lineRule="auto"/>
            </w:pPr>
            <w:r>
              <w:rPr>
                <w:b/>
                <w:bCs/>
                <w:sz w:val="20"/>
                <w:szCs w:val="20"/>
              </w:rPr>
              <w:t>LFCE does not Granger-cause LGDP</w:t>
            </w:r>
          </w:p>
        </w:tc>
        <w:tc>
          <w:tcPr>
            <w:tcW w:w="1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F22EE6F" w14:textId="77777777" w:rsidR="00FB5224" w:rsidRDefault="00000000">
            <w:pPr>
              <w:keepNext/>
              <w:spacing w:line="252" w:lineRule="auto"/>
            </w:pPr>
            <w:r>
              <w:rPr>
                <w:sz w:val="20"/>
                <w:szCs w:val="20"/>
              </w:rPr>
              <w:t>≈ 0.0034</w:t>
            </w:r>
          </w:p>
        </w:tc>
        <w:tc>
          <w:tcPr>
            <w:tcW w:w="1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A21F742" w14:textId="77777777" w:rsidR="00FB5224" w:rsidRDefault="00000000">
            <w:pPr>
              <w:keepNext/>
              <w:spacing w:line="252" w:lineRule="auto"/>
            </w:pPr>
            <w:r>
              <w:rPr>
                <w:sz w:val="20"/>
                <w:szCs w:val="20"/>
              </w:rPr>
              <w:t>≈ 0.9535</w:t>
            </w:r>
          </w:p>
        </w:tc>
        <w:tc>
          <w:tcPr>
            <w:tcW w:w="20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34177E23" w14:textId="77777777" w:rsidR="00FB5224" w:rsidRDefault="00000000">
            <w:pPr>
              <w:keepNext/>
              <w:spacing w:line="252" w:lineRule="auto"/>
            </w:pPr>
            <w:r>
              <w:rPr>
                <w:sz w:val="20"/>
                <w:szCs w:val="20"/>
              </w:rPr>
              <w:t>Fail to reject</w:t>
            </w:r>
          </w:p>
        </w:tc>
      </w:tr>
      <w:tr w:rsidR="00FB5224" w14:paraId="47A3AF5D" w14:textId="77777777">
        <w:trPr>
          <w:cantSplit/>
        </w:trPr>
        <w:tc>
          <w:tcPr>
            <w:tcW w:w="36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5EEB1435" w14:textId="77777777" w:rsidR="00FB5224" w:rsidRDefault="00000000">
            <w:pPr>
              <w:spacing w:line="252" w:lineRule="auto"/>
            </w:pPr>
            <w:r>
              <w:rPr>
                <w:b/>
                <w:bCs/>
                <w:sz w:val="20"/>
                <w:szCs w:val="20"/>
              </w:rPr>
              <w:t>LGDP does not Granger-cause LFCE</w:t>
            </w:r>
          </w:p>
        </w:tc>
        <w:tc>
          <w:tcPr>
            <w:tcW w:w="17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7B731E13" w14:textId="77777777" w:rsidR="00FB5224" w:rsidRDefault="00000000">
            <w:pPr>
              <w:spacing w:line="252" w:lineRule="auto"/>
            </w:pPr>
            <w:r>
              <w:rPr>
                <w:sz w:val="20"/>
                <w:szCs w:val="20"/>
              </w:rPr>
              <w:t>≈ 0.7295</w:t>
            </w:r>
          </w:p>
        </w:tc>
        <w:tc>
          <w:tcPr>
            <w:tcW w:w="17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0A55C387" w14:textId="77777777" w:rsidR="00FB5224" w:rsidRDefault="00000000">
            <w:pPr>
              <w:spacing w:line="252" w:lineRule="auto"/>
            </w:pPr>
            <w:r>
              <w:rPr>
                <w:sz w:val="20"/>
                <w:szCs w:val="20"/>
              </w:rPr>
              <w:t>≈ 0.3931</w:t>
            </w:r>
          </w:p>
        </w:tc>
        <w:tc>
          <w:tcPr>
            <w:tcW w:w="202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173AD901" w14:textId="77777777" w:rsidR="00FB5224" w:rsidRDefault="00000000">
            <w:pPr>
              <w:spacing w:line="252" w:lineRule="auto"/>
            </w:pPr>
            <w:r>
              <w:rPr>
                <w:sz w:val="20"/>
                <w:szCs w:val="20"/>
              </w:rPr>
              <w:t>Fail to reject</w:t>
            </w:r>
          </w:p>
        </w:tc>
      </w:tr>
    </w:tbl>
    <w:p w14:paraId="6D8B5EDF" w14:textId="77777777" w:rsidR="00FB5224" w:rsidRDefault="00FB522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B5224" w14:paraId="6342CF38" w14:textId="77777777">
        <w:tc>
          <w:tcPr>
            <w:tcW w:w="9026" w:type="dxa"/>
            <w:gridSpan w:val="2"/>
            <w:tcBorders>
              <w:top w:val="single" w:sz="12" w:space="0" w:color="1F4E79"/>
              <w:left w:val="none" w:sz="0" w:space="0" w:color="FFFFFF"/>
              <w:bottom w:val="single" w:sz="6" w:space="0" w:color="1F4E79"/>
              <w:right w:val="none" w:sz="0" w:space="0" w:color="FFFFFF"/>
            </w:tcBorders>
            <w:shd w:val="clear" w:color="auto" w:fill="1F4E79"/>
            <w:tcMar>
              <w:top w:w="70" w:type="dxa"/>
              <w:left w:w="110" w:type="dxa"/>
              <w:bottom w:w="70" w:type="dxa"/>
              <w:right w:w="110" w:type="dxa"/>
            </w:tcMar>
          </w:tcPr>
          <w:p w14:paraId="16C373EB" w14:textId="77777777" w:rsidR="00FB5224" w:rsidRDefault="00000000">
            <w:pPr>
              <w:keepNext/>
            </w:pPr>
            <w:r>
              <w:rPr>
                <w:b/>
                <w:bCs/>
                <w:color w:val="FFFFFF"/>
                <w:sz w:val="21"/>
                <w:szCs w:val="21"/>
              </w:rPr>
              <w:lastRenderedPageBreak/>
              <w:t>Toda–Yamamoto causality test</w:t>
            </w:r>
          </w:p>
        </w:tc>
      </w:tr>
      <w:tr w:rsidR="00FB5224" w14:paraId="30220C53"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151470D0" w14:textId="77777777" w:rsidR="00FB5224" w:rsidRDefault="00000000">
            <w:pPr>
              <w:keepNext/>
              <w:spacing w:line="252" w:lineRule="auto"/>
            </w:pPr>
            <w:r>
              <w:rPr>
                <w:b/>
                <w:bCs/>
                <w:color w:val="1F4E79"/>
                <w:sz w:val="20"/>
                <w:szCs w:val="20"/>
              </w:rPr>
              <w:t>Purpose</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C388A64" w14:textId="77777777" w:rsidR="00FB5224" w:rsidRDefault="00000000">
            <w:pPr>
              <w:keepNext/>
              <w:spacing w:line="252" w:lineRule="auto"/>
            </w:pPr>
            <w:r>
              <w:rPr>
                <w:sz w:val="20"/>
                <w:szCs w:val="20"/>
              </w:rPr>
              <w:t>To test predictive (Granger) causality between LFCE and LGDP in each direction, valid for I(1) variables.</w:t>
            </w:r>
          </w:p>
        </w:tc>
      </w:tr>
      <w:tr w:rsidR="00FB5224" w14:paraId="5759F2FC"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253F9882" w14:textId="77777777" w:rsidR="00FB5224" w:rsidRDefault="00000000">
            <w:pPr>
              <w:keepNext/>
              <w:spacing w:line="252" w:lineRule="auto"/>
            </w:pPr>
            <w:r>
              <w:rPr>
                <w:b/>
                <w:bCs/>
                <w:color w:val="1F4E79"/>
                <w:sz w:val="20"/>
                <w:szCs w:val="20"/>
              </w:rPr>
              <w:t>Null hypothesis</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3CA6A3A" w14:textId="77777777" w:rsidR="00FB5224" w:rsidRDefault="00000000">
            <w:pPr>
              <w:keepNext/>
              <w:spacing w:line="252" w:lineRule="auto"/>
            </w:pPr>
            <w:r>
              <w:rPr>
                <w:sz w:val="20"/>
                <w:szCs w:val="20"/>
              </w:rPr>
              <w:t>No Granger causality from the lagged variable to the dependent variable.</w:t>
            </w:r>
          </w:p>
        </w:tc>
      </w:tr>
      <w:tr w:rsidR="00FB5224" w14:paraId="7FEC1DFD"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30CB8510" w14:textId="77777777" w:rsidR="00FB5224" w:rsidRDefault="00000000">
            <w:pPr>
              <w:keepNext/>
              <w:spacing w:line="252" w:lineRule="auto"/>
            </w:pPr>
            <w:r>
              <w:rPr>
                <w:b/>
                <w:bCs/>
                <w:color w:val="1F4E79"/>
                <w:sz w:val="20"/>
                <w:szCs w:val="20"/>
              </w:rPr>
              <w:t>Result</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ABC96A6" w14:textId="77777777" w:rsidR="00FB5224" w:rsidRDefault="00000000">
            <w:pPr>
              <w:keepNext/>
              <w:spacing w:line="252" w:lineRule="auto"/>
            </w:pPr>
            <w:r>
              <w:rPr>
                <w:sz w:val="20"/>
                <w:szCs w:val="20"/>
              </w:rPr>
              <w:t>LFCE → LGDP: W ≈ 0.0034, p ≈ 0.9535. LGDP → LFCE: W ≈ 0.7295, p ≈ 0.3931.</w:t>
            </w:r>
          </w:p>
        </w:tc>
      </w:tr>
      <w:tr w:rsidR="00FB5224" w14:paraId="651FC56D" w14:textId="77777777">
        <w:trPr>
          <w:cantSplit/>
        </w:trPr>
        <w:tc>
          <w:tcPr>
            <w:tcW w:w="1900" w:type="dxa"/>
            <w:tcBorders>
              <w:top w:val="single" w:sz="4" w:space="0" w:color="BFBFBF"/>
              <w:left w:val="none" w:sz="0" w:space="0" w:color="FFFFFF"/>
              <w:bottom w:val="single" w:sz="4" w:space="0" w:color="BFBFBF"/>
              <w:right w:val="none" w:sz="0" w:space="0" w:color="FFFFFF"/>
            </w:tcBorders>
            <w:shd w:val="clear" w:color="auto" w:fill="EAF1F8"/>
            <w:tcMar>
              <w:top w:w="70" w:type="dxa"/>
              <w:left w:w="110" w:type="dxa"/>
              <w:bottom w:w="70" w:type="dxa"/>
              <w:right w:w="110" w:type="dxa"/>
            </w:tcMar>
            <w:vAlign w:val="center"/>
          </w:tcPr>
          <w:p w14:paraId="20478240" w14:textId="77777777" w:rsidR="00FB5224" w:rsidRDefault="00000000">
            <w:pPr>
              <w:keepNext/>
              <w:spacing w:line="252" w:lineRule="auto"/>
            </w:pPr>
            <w:r>
              <w:rPr>
                <w:b/>
                <w:bCs/>
                <w:color w:val="1F4E79"/>
                <w:sz w:val="20"/>
                <w:szCs w:val="20"/>
              </w:rPr>
              <w:t>Decision</w:t>
            </w:r>
          </w:p>
        </w:tc>
        <w:tc>
          <w:tcPr>
            <w:tcW w:w="71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725C9728" w14:textId="77777777" w:rsidR="00FB5224" w:rsidRDefault="00000000">
            <w:pPr>
              <w:keepNext/>
              <w:spacing w:line="252" w:lineRule="auto"/>
            </w:pPr>
            <w:r>
              <w:rPr>
                <w:sz w:val="20"/>
                <w:szCs w:val="20"/>
              </w:rPr>
              <w:t>Neither null is rejected at 5%.</w:t>
            </w:r>
          </w:p>
        </w:tc>
      </w:tr>
      <w:tr w:rsidR="00FB5224" w14:paraId="7A127552" w14:textId="77777777">
        <w:trPr>
          <w:cantSplit/>
        </w:trPr>
        <w:tc>
          <w:tcPr>
            <w:tcW w:w="1900" w:type="dxa"/>
            <w:tcBorders>
              <w:top w:val="single" w:sz="4" w:space="0" w:color="BFBFBF"/>
              <w:left w:val="none" w:sz="0" w:space="0" w:color="FFFFFF"/>
              <w:bottom w:val="single" w:sz="12" w:space="0" w:color="1F4E79"/>
              <w:right w:val="none" w:sz="0" w:space="0" w:color="FFFFFF"/>
            </w:tcBorders>
            <w:shd w:val="clear" w:color="auto" w:fill="EAF1F8"/>
            <w:tcMar>
              <w:top w:w="70" w:type="dxa"/>
              <w:left w:w="110" w:type="dxa"/>
              <w:bottom w:w="70" w:type="dxa"/>
              <w:right w:w="110" w:type="dxa"/>
            </w:tcMar>
            <w:vAlign w:val="center"/>
          </w:tcPr>
          <w:p w14:paraId="0EE5D605" w14:textId="77777777" w:rsidR="00FB5224" w:rsidRDefault="00000000">
            <w:pPr>
              <w:spacing w:line="252" w:lineRule="auto"/>
            </w:pPr>
            <w:r>
              <w:rPr>
                <w:b/>
                <w:bCs/>
                <w:color w:val="1F4E79"/>
                <w:sz w:val="20"/>
                <w:szCs w:val="20"/>
              </w:rPr>
              <w:t>Implication</w:t>
            </w:r>
          </w:p>
        </w:tc>
        <w:tc>
          <w:tcPr>
            <w:tcW w:w="712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2250351E" w14:textId="77777777" w:rsidR="00FB5224" w:rsidRDefault="00000000">
            <w:pPr>
              <w:spacing w:line="252" w:lineRule="auto"/>
            </w:pPr>
            <w:r>
              <w:rPr>
                <w:sz w:val="20"/>
                <w:szCs w:val="20"/>
              </w:rPr>
              <w:t>No evidence of Granger causality in either direction at 5%. This does not mean GDP and FCE are unrelated.</w:t>
            </w:r>
          </w:p>
        </w:tc>
      </w:tr>
    </w:tbl>
    <w:p w14:paraId="312BB830" w14:textId="77777777" w:rsidR="00FB5224" w:rsidRDefault="00000000">
      <w:pPr>
        <w:spacing w:before="160" w:after="120"/>
        <w:jc w:val="both"/>
      </w:pPr>
      <w:r>
        <w:t>Long-run co-movement and short-run predictive causality are different concepts, so the study can find a long-run equilibrium relationship and no statistically significant Granger causality at the same time.</w:t>
      </w:r>
    </w:p>
    <w:p w14:paraId="7545C467" w14:textId="77777777" w:rsidR="00FB5224" w:rsidRDefault="00000000">
      <w:pPr>
        <w:keepNext/>
        <w:spacing w:before="160" w:after="80"/>
      </w:pPr>
      <w:r>
        <w:rPr>
          <w:b/>
          <w:bCs/>
          <w:i/>
          <w:iCs/>
          <w:color w:val="1F4E79"/>
          <w:sz w:val="21"/>
          <w:szCs w:val="21"/>
        </w:rPr>
        <w:t>Table 10. Four concepts that must be kept distinct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1900"/>
        <w:gridCol w:w="2726"/>
      </w:tblGrid>
      <w:tr w:rsidR="00FB5224" w14:paraId="4544346E" w14:textId="77777777">
        <w:trPr>
          <w:tblHeader/>
        </w:trPr>
        <w:tc>
          <w:tcPr>
            <w:tcW w:w="17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108CA1C0" w14:textId="77777777" w:rsidR="00FB5224" w:rsidRDefault="00000000">
            <w:pPr>
              <w:keepNext/>
              <w:spacing w:line="252" w:lineRule="auto"/>
            </w:pPr>
            <w:r>
              <w:rPr>
                <w:b/>
                <w:bCs/>
                <w:color w:val="1F4E79"/>
                <w:sz w:val="20"/>
                <w:szCs w:val="20"/>
              </w:rPr>
              <w:t>Concept</w:t>
            </w:r>
          </w:p>
        </w:tc>
        <w:tc>
          <w:tcPr>
            <w:tcW w:w="27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7E25FFD0" w14:textId="77777777" w:rsidR="00FB5224" w:rsidRDefault="00000000">
            <w:pPr>
              <w:keepNext/>
              <w:spacing w:line="252" w:lineRule="auto"/>
            </w:pPr>
            <w:r>
              <w:rPr>
                <w:b/>
                <w:bCs/>
                <w:color w:val="1F4E79"/>
                <w:sz w:val="20"/>
                <w:szCs w:val="20"/>
              </w:rPr>
              <w:t>What it describes</w:t>
            </w:r>
          </w:p>
        </w:tc>
        <w:tc>
          <w:tcPr>
            <w:tcW w:w="19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12D3D031" w14:textId="77777777" w:rsidR="00FB5224" w:rsidRDefault="00000000">
            <w:pPr>
              <w:keepNext/>
              <w:spacing w:line="252" w:lineRule="auto"/>
            </w:pPr>
            <w:r>
              <w:rPr>
                <w:b/>
                <w:bCs/>
                <w:color w:val="1F4E79"/>
                <w:sz w:val="20"/>
                <w:szCs w:val="20"/>
              </w:rPr>
              <w:t>Test used</w:t>
            </w:r>
          </w:p>
        </w:tc>
        <w:tc>
          <w:tcPr>
            <w:tcW w:w="2726"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62E6A491" w14:textId="77777777" w:rsidR="00FB5224" w:rsidRDefault="00000000">
            <w:pPr>
              <w:keepNext/>
              <w:spacing w:line="252" w:lineRule="auto"/>
            </w:pPr>
            <w:r>
              <w:rPr>
                <w:b/>
                <w:bCs/>
                <w:color w:val="1F4E79"/>
                <w:sz w:val="20"/>
                <w:szCs w:val="20"/>
              </w:rPr>
              <w:t>Finding</w:t>
            </w:r>
          </w:p>
        </w:tc>
      </w:tr>
      <w:tr w:rsidR="00FB5224" w14:paraId="1071F556" w14:textId="77777777">
        <w:trPr>
          <w:cantSplit/>
        </w:trPr>
        <w:tc>
          <w:tcPr>
            <w:tcW w:w="1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49C2D0F" w14:textId="77777777" w:rsidR="00FB5224" w:rsidRDefault="00000000">
            <w:pPr>
              <w:keepNext/>
              <w:spacing w:line="252" w:lineRule="auto"/>
            </w:pPr>
            <w:r>
              <w:rPr>
                <w:b/>
                <w:bCs/>
                <w:sz w:val="20"/>
                <w:szCs w:val="20"/>
              </w:rPr>
              <w:t>Stationarity</w:t>
            </w:r>
          </w:p>
        </w:tc>
        <w:tc>
          <w:tcPr>
            <w:tcW w:w="2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6799521" w14:textId="77777777" w:rsidR="00FB5224" w:rsidRDefault="00000000">
            <w:pPr>
              <w:keepNext/>
              <w:spacing w:line="252" w:lineRule="auto"/>
            </w:pPr>
            <w:r>
              <w:rPr>
                <w:sz w:val="20"/>
                <w:szCs w:val="20"/>
              </w:rPr>
              <w:t>Whether a series has a stable stochastic process or a unit root</w:t>
            </w:r>
          </w:p>
        </w:tc>
        <w:tc>
          <w:tcPr>
            <w:tcW w:w="19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15AF66C" w14:textId="77777777" w:rsidR="00FB5224" w:rsidRDefault="00000000">
            <w:pPr>
              <w:keepNext/>
              <w:spacing w:line="252" w:lineRule="auto"/>
            </w:pPr>
            <w:r>
              <w:rPr>
                <w:sz w:val="20"/>
                <w:szCs w:val="20"/>
              </w:rPr>
              <w:t>ADF</w:t>
            </w:r>
          </w:p>
        </w:tc>
        <w:tc>
          <w:tcPr>
            <w:tcW w:w="27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9AC4222" w14:textId="77777777" w:rsidR="00FB5224" w:rsidRDefault="00000000">
            <w:pPr>
              <w:keepNext/>
              <w:spacing w:line="252" w:lineRule="auto"/>
            </w:pPr>
            <w:r>
              <w:rPr>
                <w:sz w:val="20"/>
                <w:szCs w:val="20"/>
              </w:rPr>
              <w:t>Both LGDP and LFCE are I(1)</w:t>
            </w:r>
          </w:p>
        </w:tc>
      </w:tr>
      <w:tr w:rsidR="00FB5224" w14:paraId="2997E6D9" w14:textId="77777777">
        <w:trPr>
          <w:cantSplit/>
        </w:trPr>
        <w:tc>
          <w:tcPr>
            <w:tcW w:w="1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7EDD95B1" w14:textId="77777777" w:rsidR="00FB5224" w:rsidRDefault="00000000">
            <w:pPr>
              <w:keepNext/>
              <w:spacing w:line="252" w:lineRule="auto"/>
            </w:pPr>
            <w:r>
              <w:rPr>
                <w:b/>
                <w:bCs/>
                <w:sz w:val="20"/>
                <w:szCs w:val="20"/>
              </w:rPr>
              <w:t>Cointegration</w:t>
            </w:r>
          </w:p>
        </w:tc>
        <w:tc>
          <w:tcPr>
            <w:tcW w:w="2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5C4A303" w14:textId="77777777" w:rsidR="00FB5224" w:rsidRDefault="00000000">
            <w:pPr>
              <w:keepNext/>
              <w:spacing w:line="252" w:lineRule="auto"/>
            </w:pPr>
            <w:r>
              <w:rPr>
                <w:sz w:val="20"/>
                <w:szCs w:val="20"/>
              </w:rPr>
              <w:t>Whether I(1) variables share a long-run equilibrium</w:t>
            </w:r>
          </w:p>
        </w:tc>
        <w:tc>
          <w:tcPr>
            <w:tcW w:w="19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33AE595F" w14:textId="77777777" w:rsidR="00FB5224" w:rsidRDefault="00000000">
            <w:pPr>
              <w:keepNext/>
              <w:spacing w:line="252" w:lineRule="auto"/>
            </w:pPr>
            <w:r>
              <w:rPr>
                <w:sz w:val="20"/>
                <w:szCs w:val="20"/>
              </w:rPr>
              <w:t>Engle–Granger; Johansen</w:t>
            </w:r>
          </w:p>
        </w:tc>
        <w:tc>
          <w:tcPr>
            <w:tcW w:w="27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2A75C97" w14:textId="77777777" w:rsidR="00FB5224" w:rsidRDefault="00000000">
            <w:pPr>
              <w:keepNext/>
              <w:spacing w:line="252" w:lineRule="auto"/>
            </w:pPr>
            <w:r>
              <w:rPr>
                <w:sz w:val="20"/>
                <w:szCs w:val="20"/>
              </w:rPr>
              <w:t>EG borderline at 10%; Johansen r = 1 at 5%</w:t>
            </w:r>
          </w:p>
        </w:tc>
      </w:tr>
      <w:tr w:rsidR="00FB5224" w14:paraId="7C2FC59A" w14:textId="77777777">
        <w:trPr>
          <w:cantSplit/>
        </w:trPr>
        <w:tc>
          <w:tcPr>
            <w:tcW w:w="1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37FCC14" w14:textId="77777777" w:rsidR="00FB5224" w:rsidRDefault="00000000">
            <w:pPr>
              <w:keepNext/>
              <w:spacing w:line="252" w:lineRule="auto"/>
            </w:pPr>
            <w:r>
              <w:rPr>
                <w:b/>
                <w:bCs/>
                <w:sz w:val="20"/>
                <w:szCs w:val="20"/>
              </w:rPr>
              <w:t>Short-run adjustment</w:t>
            </w:r>
          </w:p>
        </w:tc>
        <w:tc>
          <w:tcPr>
            <w:tcW w:w="2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8C4EC6A" w14:textId="77777777" w:rsidR="00FB5224" w:rsidRDefault="00000000">
            <w:pPr>
              <w:keepNext/>
              <w:spacing w:line="252" w:lineRule="auto"/>
            </w:pPr>
            <w:r>
              <w:rPr>
                <w:sz w:val="20"/>
                <w:szCs w:val="20"/>
              </w:rPr>
              <w:t>How changes respond to deviations from equilibrium</w:t>
            </w:r>
          </w:p>
        </w:tc>
        <w:tc>
          <w:tcPr>
            <w:tcW w:w="19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5AE6D7B" w14:textId="77777777" w:rsidR="00FB5224" w:rsidRDefault="00000000">
            <w:pPr>
              <w:keepNext/>
              <w:spacing w:line="252" w:lineRule="auto"/>
            </w:pPr>
            <w:r>
              <w:rPr>
                <w:sz w:val="20"/>
                <w:szCs w:val="20"/>
              </w:rPr>
              <w:t>ECM; VECM</w:t>
            </w:r>
          </w:p>
        </w:tc>
        <w:tc>
          <w:tcPr>
            <w:tcW w:w="27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FAAF2C2" w14:textId="77777777" w:rsidR="00FB5224" w:rsidRDefault="00000000">
            <w:pPr>
              <w:keepNext/>
              <w:spacing w:line="252" w:lineRule="auto"/>
            </w:pPr>
            <w:r>
              <w:rPr>
                <w:sz w:val="20"/>
                <w:szCs w:val="20"/>
              </w:rPr>
              <w:t>ECM −0.420759 (p = 0.0010); VECM: LFCE adjusts significantly, GDP not at 5%</w:t>
            </w:r>
          </w:p>
        </w:tc>
      </w:tr>
      <w:tr w:rsidR="00FB5224" w14:paraId="254EE210" w14:textId="77777777">
        <w:trPr>
          <w:cantSplit/>
        </w:trPr>
        <w:tc>
          <w:tcPr>
            <w:tcW w:w="17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4FBCAFF0" w14:textId="77777777" w:rsidR="00FB5224" w:rsidRDefault="00000000">
            <w:pPr>
              <w:spacing w:line="252" w:lineRule="auto"/>
            </w:pPr>
            <w:r>
              <w:rPr>
                <w:b/>
                <w:bCs/>
                <w:sz w:val="20"/>
                <w:szCs w:val="20"/>
              </w:rPr>
              <w:t>Granger causality</w:t>
            </w:r>
          </w:p>
        </w:tc>
        <w:tc>
          <w:tcPr>
            <w:tcW w:w="27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14B661EE" w14:textId="77777777" w:rsidR="00FB5224" w:rsidRDefault="00000000">
            <w:pPr>
              <w:spacing w:line="252" w:lineRule="auto"/>
            </w:pPr>
            <w:r>
              <w:rPr>
                <w:sz w:val="20"/>
                <w:szCs w:val="20"/>
              </w:rPr>
              <w:t>Whether past values add predictive information</w:t>
            </w:r>
          </w:p>
        </w:tc>
        <w:tc>
          <w:tcPr>
            <w:tcW w:w="19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33D7B5D6" w14:textId="77777777" w:rsidR="00FB5224" w:rsidRDefault="00000000">
            <w:pPr>
              <w:spacing w:line="252" w:lineRule="auto"/>
            </w:pPr>
            <w:r>
              <w:rPr>
                <w:sz w:val="20"/>
                <w:szCs w:val="20"/>
              </w:rPr>
              <w:t>Toda–Yamamoto</w:t>
            </w:r>
          </w:p>
        </w:tc>
        <w:tc>
          <w:tcPr>
            <w:tcW w:w="272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7567AC6E" w14:textId="77777777" w:rsidR="00FB5224" w:rsidRDefault="00000000">
            <w:pPr>
              <w:spacing w:line="252" w:lineRule="auto"/>
            </w:pPr>
            <w:r>
              <w:rPr>
                <w:sz w:val="20"/>
                <w:szCs w:val="20"/>
              </w:rPr>
              <w:t>None in either direction at 5%</w:t>
            </w:r>
          </w:p>
        </w:tc>
      </w:tr>
    </w:tbl>
    <w:p w14:paraId="5E433B14" w14:textId="77777777" w:rsidR="00FB5224" w:rsidRDefault="00000000">
      <w:pPr>
        <w:pStyle w:val="Heading1"/>
        <w:keepNext/>
      </w:pPr>
      <w:r>
        <w:t>12. Impulse Response Functions</w:t>
      </w:r>
    </w:p>
    <w:p w14:paraId="543E621B" w14:textId="77777777" w:rsidR="00FB5224" w:rsidRDefault="00000000">
      <w:pPr>
        <w:spacing w:after="140" w:line="300" w:lineRule="auto"/>
        <w:jc w:val="both"/>
      </w:pPr>
      <w:r>
        <w:t xml:space="preserve">An impulse response function (IRF) traces the dynamic path of each variable following a one-time shock to one of the variables. The VECM IRFs used </w:t>
      </w:r>
      <w:r>
        <w:rPr>
          <w:b/>
          <w:bCs/>
        </w:rPr>
        <w:t>generalized impulses</w:t>
      </w:r>
      <w:r>
        <w:t>, which do not require a Cholesky causal ordering, over 10 periods, with non-accumulated responses and table output.</w:t>
      </w:r>
    </w:p>
    <w:p w14:paraId="7846789A" w14:textId="77777777" w:rsidR="00FB5224" w:rsidRDefault="00000000">
      <w:pPr>
        <w:keepNext/>
        <w:spacing w:before="160" w:after="80"/>
      </w:pPr>
      <w:r>
        <w:rPr>
          <w:b/>
          <w:bCs/>
          <w:i/>
          <w:iCs/>
          <w:color w:val="1F4E79"/>
          <w:sz w:val="21"/>
          <w:szCs w:val="21"/>
        </w:rPr>
        <w:t>Table 11. Impulse responses over the 10-period horizon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FB5224" w14:paraId="0B13F6C9" w14:textId="77777777">
        <w:trPr>
          <w:tblHeader/>
        </w:trPr>
        <w:tc>
          <w:tcPr>
            <w:tcW w:w="40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428DA122" w14:textId="77777777" w:rsidR="00FB5224" w:rsidRDefault="00000000">
            <w:pPr>
              <w:keepNext/>
              <w:spacing w:line="252" w:lineRule="auto"/>
            </w:pPr>
            <w:r>
              <w:rPr>
                <w:b/>
                <w:bCs/>
                <w:color w:val="1F4E79"/>
                <w:sz w:val="20"/>
                <w:szCs w:val="20"/>
              </w:rPr>
              <w:t>Impulse → Response</w:t>
            </w:r>
          </w:p>
        </w:tc>
        <w:tc>
          <w:tcPr>
            <w:tcW w:w="5026"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4E6B727D" w14:textId="77777777" w:rsidR="00FB5224" w:rsidRDefault="00000000">
            <w:pPr>
              <w:keepNext/>
              <w:spacing w:line="252" w:lineRule="auto"/>
            </w:pPr>
            <w:r>
              <w:rPr>
                <w:b/>
                <w:bCs/>
                <w:color w:val="1F4E79"/>
                <w:sz w:val="20"/>
                <w:szCs w:val="20"/>
              </w:rPr>
              <w:t>Reported pattern</w:t>
            </w:r>
          </w:p>
        </w:tc>
      </w:tr>
      <w:tr w:rsidR="00FB5224" w14:paraId="1A0BD0F1" w14:textId="77777777">
        <w:trPr>
          <w:cantSplit/>
        </w:trPr>
        <w:tc>
          <w:tcPr>
            <w:tcW w:w="4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7EF3A8A" w14:textId="77777777" w:rsidR="00FB5224" w:rsidRDefault="00000000">
            <w:pPr>
              <w:keepNext/>
              <w:spacing w:line="252" w:lineRule="auto"/>
            </w:pPr>
            <w:r>
              <w:rPr>
                <w:b/>
                <w:bCs/>
                <w:sz w:val="20"/>
                <w:szCs w:val="20"/>
              </w:rPr>
              <w:t>LGDP shock → LGDP</w:t>
            </w:r>
          </w:p>
        </w:tc>
        <w:tc>
          <w:tcPr>
            <w:tcW w:w="50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FA5787A" w14:textId="77777777" w:rsidR="00FB5224" w:rsidRDefault="00000000">
            <w:pPr>
              <w:keepNext/>
              <w:spacing w:line="252" w:lineRule="auto"/>
            </w:pPr>
            <w:r>
              <w:rPr>
                <w:sz w:val="20"/>
                <w:szCs w:val="20"/>
              </w:rPr>
              <w:t>Positive and persistent; gradually stabilizing</w:t>
            </w:r>
          </w:p>
        </w:tc>
      </w:tr>
      <w:tr w:rsidR="00FB5224" w14:paraId="4842240B" w14:textId="77777777">
        <w:trPr>
          <w:cantSplit/>
        </w:trPr>
        <w:tc>
          <w:tcPr>
            <w:tcW w:w="4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25B6140" w14:textId="77777777" w:rsidR="00FB5224" w:rsidRDefault="00000000">
            <w:pPr>
              <w:keepNext/>
              <w:spacing w:line="252" w:lineRule="auto"/>
            </w:pPr>
            <w:r>
              <w:rPr>
                <w:b/>
                <w:bCs/>
                <w:sz w:val="20"/>
                <w:szCs w:val="20"/>
              </w:rPr>
              <w:t>LFCE shock → LGDP</w:t>
            </w:r>
          </w:p>
        </w:tc>
        <w:tc>
          <w:tcPr>
            <w:tcW w:w="50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6AEBAD4" w14:textId="77777777" w:rsidR="00FB5224" w:rsidRDefault="00000000">
            <w:pPr>
              <w:keepNext/>
              <w:spacing w:line="252" w:lineRule="auto"/>
            </w:pPr>
            <w:r>
              <w:rPr>
                <w:sz w:val="20"/>
                <w:szCs w:val="20"/>
              </w:rPr>
              <w:t>Positive and persistent</w:t>
            </w:r>
          </w:p>
        </w:tc>
      </w:tr>
      <w:tr w:rsidR="00FB5224" w14:paraId="4A2AB534" w14:textId="77777777">
        <w:trPr>
          <w:cantSplit/>
        </w:trPr>
        <w:tc>
          <w:tcPr>
            <w:tcW w:w="4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C6D8959" w14:textId="77777777" w:rsidR="00FB5224" w:rsidRDefault="00000000">
            <w:pPr>
              <w:keepNext/>
              <w:spacing w:line="252" w:lineRule="auto"/>
            </w:pPr>
            <w:r>
              <w:rPr>
                <w:b/>
                <w:bCs/>
                <w:sz w:val="20"/>
                <w:szCs w:val="20"/>
              </w:rPr>
              <w:t>LGDP shock → LFCE</w:t>
            </w:r>
          </w:p>
        </w:tc>
        <w:tc>
          <w:tcPr>
            <w:tcW w:w="50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13ADC86" w14:textId="77777777" w:rsidR="00FB5224" w:rsidRDefault="00000000">
            <w:pPr>
              <w:keepNext/>
              <w:spacing w:line="252" w:lineRule="auto"/>
            </w:pPr>
            <w:r>
              <w:rPr>
                <w:sz w:val="20"/>
                <w:szCs w:val="20"/>
              </w:rPr>
              <w:t>Positive and persistent</w:t>
            </w:r>
          </w:p>
        </w:tc>
      </w:tr>
      <w:tr w:rsidR="00FB5224" w14:paraId="329E2F6F" w14:textId="77777777">
        <w:trPr>
          <w:cantSplit/>
        </w:trPr>
        <w:tc>
          <w:tcPr>
            <w:tcW w:w="40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63767264" w14:textId="77777777" w:rsidR="00FB5224" w:rsidRDefault="00000000">
            <w:pPr>
              <w:spacing w:line="252" w:lineRule="auto"/>
            </w:pPr>
            <w:r>
              <w:rPr>
                <w:b/>
                <w:bCs/>
                <w:sz w:val="20"/>
                <w:szCs w:val="20"/>
              </w:rPr>
              <w:t>LFCE shock → LFCE</w:t>
            </w:r>
          </w:p>
        </w:tc>
        <w:tc>
          <w:tcPr>
            <w:tcW w:w="502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520F5E36" w14:textId="77777777" w:rsidR="00FB5224" w:rsidRDefault="00000000">
            <w:pPr>
              <w:spacing w:line="252" w:lineRule="auto"/>
            </w:pPr>
            <w:r>
              <w:rPr>
                <w:sz w:val="20"/>
                <w:szCs w:val="20"/>
              </w:rPr>
              <w:t>Positive and persistent</w:t>
            </w:r>
          </w:p>
        </w:tc>
      </w:tr>
    </w:tbl>
    <w:p w14:paraId="798E8BCA" w14:textId="77777777" w:rsidR="00FB5224" w:rsidRDefault="00FB5224">
      <w:pPr>
        <w:spacing w:after="120"/>
      </w:pPr>
    </w:p>
    <w:p w14:paraId="6C95B5BF" w14:textId="77777777" w:rsidR="00FB5224" w:rsidRDefault="00000000">
      <w:pPr>
        <w:spacing w:after="140" w:line="300" w:lineRule="auto"/>
        <w:jc w:val="both"/>
      </w:pPr>
      <w:r>
        <w:t xml:space="preserve">No sign reversal was observed in any reported response. Standard errors were not available in the reported VECM IRF output, so the responses are interpreted dynamically (sign and persistence) and </w:t>
      </w:r>
      <w:r>
        <w:rPr>
          <w:b/>
          <w:bCs/>
        </w:rPr>
        <w:t>no statistical-significance claims are made</w:t>
      </w:r>
      <w:r>
        <w:t>. The IRF values are not automatically interpreted as percentage changes.</w:t>
      </w:r>
    </w:p>
    <w:p w14:paraId="466A59D8" w14:textId="77777777" w:rsidR="00FB5224" w:rsidRDefault="00000000">
      <w:pPr>
        <w:pBdr>
          <w:left w:val="single" w:sz="24" w:space="8" w:color="2E75B6"/>
        </w:pBdr>
        <w:shd w:val="clear" w:color="auto" w:fill="EAF1F8"/>
        <w:spacing w:before="80" w:after="160" w:line="276" w:lineRule="auto"/>
        <w:ind w:left="200" w:right="100"/>
      </w:pPr>
      <w:r>
        <w:rPr>
          <w:b/>
          <w:bCs/>
          <w:color w:val="1F4E79"/>
        </w:rPr>
        <w:lastRenderedPageBreak/>
        <w:t xml:space="preserve">Economic intuition. </w:t>
      </w:r>
      <w:r>
        <w:t>A positive shock to consumption expenditure is associated with a sustained positive response in output, consistent with stronger demand for final goods and services raising production and income. Conversely, an output/income shock can support higher consumption through income effects. The persistence is consistent with a long-run equilibrium relationship.</w:t>
      </w:r>
    </w:p>
    <w:p w14:paraId="79059E3D" w14:textId="77777777" w:rsidR="00FB5224" w:rsidRDefault="00000000">
      <w:pPr>
        <w:pStyle w:val="Heading1"/>
        <w:keepNext/>
      </w:pPr>
      <w:r>
        <w:t>13. Forecast-Error Variance Decomposition</w:t>
      </w:r>
    </w:p>
    <w:p w14:paraId="67948424" w14:textId="77777777" w:rsidR="00FB5224" w:rsidRDefault="00000000">
      <w:pPr>
        <w:spacing w:after="140" w:line="300" w:lineRule="auto"/>
        <w:jc w:val="both"/>
      </w:pPr>
      <w:r>
        <w:t>Forecast-error variance decomposition (FEVD) splits the variance of each variable’s forecast error into the shares attributable to shocks in each variable. It was computed with the Cholesky method, ordering LGDP → LFCE, over 10 periods. Where an IRF shows the direction and persistence of a response, the FEVD shows relative contributions to forecast uncertainty.</w:t>
      </w:r>
    </w:p>
    <w:p w14:paraId="479E4E31" w14:textId="77777777" w:rsidR="00FB5224" w:rsidRDefault="00000000">
      <w:pPr>
        <w:keepNext/>
        <w:spacing w:before="160" w:after="80"/>
      </w:pPr>
      <w:r>
        <w:rPr>
          <w:b/>
          <w:bCs/>
          <w:i/>
          <w:iCs/>
          <w:color w:val="1F4E79"/>
          <w:sz w:val="21"/>
          <w:szCs w:val="21"/>
        </w:rPr>
        <w:t>Table 12. Cholesky forecast-error variance decomposition (ordering LGDP → LFCE)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1975"/>
        <w:gridCol w:w="1975"/>
        <w:gridCol w:w="1976"/>
      </w:tblGrid>
      <w:tr w:rsidR="00FB5224" w14:paraId="6D3D37C9" w14:textId="77777777">
        <w:trPr>
          <w:tblHeader/>
        </w:trPr>
        <w:tc>
          <w:tcPr>
            <w:tcW w:w="11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1F2A83F8" w14:textId="77777777" w:rsidR="00FB5224" w:rsidRDefault="00000000">
            <w:pPr>
              <w:keepNext/>
              <w:spacing w:line="252" w:lineRule="auto"/>
            </w:pPr>
            <w:r>
              <w:rPr>
                <w:b/>
                <w:bCs/>
                <w:color w:val="1F4E79"/>
                <w:sz w:val="20"/>
                <w:szCs w:val="20"/>
              </w:rPr>
              <w:t>Horizon</w:t>
            </w:r>
          </w:p>
        </w:tc>
        <w:tc>
          <w:tcPr>
            <w:tcW w:w="20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3D159696" w14:textId="77777777" w:rsidR="00FB5224" w:rsidRDefault="00000000">
            <w:pPr>
              <w:keepNext/>
              <w:spacing w:line="252" w:lineRule="auto"/>
              <w:jc w:val="center"/>
            </w:pPr>
            <w:r>
              <w:rPr>
                <w:b/>
                <w:bCs/>
                <w:color w:val="1F4E79"/>
                <w:sz w:val="20"/>
                <w:szCs w:val="20"/>
              </w:rPr>
              <w:t>LGDP var.: LGDP shock</w:t>
            </w:r>
          </w:p>
        </w:tc>
        <w:tc>
          <w:tcPr>
            <w:tcW w:w="1975"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003EDC00" w14:textId="77777777" w:rsidR="00FB5224" w:rsidRDefault="00000000">
            <w:pPr>
              <w:keepNext/>
              <w:spacing w:line="252" w:lineRule="auto"/>
              <w:jc w:val="center"/>
            </w:pPr>
            <w:r>
              <w:rPr>
                <w:b/>
                <w:bCs/>
                <w:color w:val="1F4E79"/>
                <w:sz w:val="20"/>
                <w:szCs w:val="20"/>
              </w:rPr>
              <w:t>LGDP var.: LFCE shock</w:t>
            </w:r>
          </w:p>
        </w:tc>
        <w:tc>
          <w:tcPr>
            <w:tcW w:w="1975"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068AA7DF" w14:textId="77777777" w:rsidR="00FB5224" w:rsidRDefault="00000000">
            <w:pPr>
              <w:keepNext/>
              <w:spacing w:line="252" w:lineRule="auto"/>
              <w:jc w:val="center"/>
            </w:pPr>
            <w:r>
              <w:rPr>
                <w:b/>
                <w:bCs/>
                <w:color w:val="1F4E79"/>
                <w:sz w:val="20"/>
                <w:szCs w:val="20"/>
              </w:rPr>
              <w:t>LFCE var.: LGDP shock</w:t>
            </w:r>
          </w:p>
        </w:tc>
        <w:tc>
          <w:tcPr>
            <w:tcW w:w="1976"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1056CE83" w14:textId="77777777" w:rsidR="00FB5224" w:rsidRDefault="00000000">
            <w:pPr>
              <w:keepNext/>
              <w:spacing w:line="252" w:lineRule="auto"/>
              <w:jc w:val="center"/>
            </w:pPr>
            <w:r>
              <w:rPr>
                <w:b/>
                <w:bCs/>
                <w:color w:val="1F4E79"/>
                <w:sz w:val="20"/>
                <w:szCs w:val="20"/>
              </w:rPr>
              <w:t>LFCE var.: LFCE shock</w:t>
            </w:r>
          </w:p>
        </w:tc>
      </w:tr>
      <w:tr w:rsidR="00FB5224" w14:paraId="6FC081E0" w14:textId="77777777">
        <w:trPr>
          <w:cantSplit/>
        </w:trPr>
        <w:tc>
          <w:tcPr>
            <w:tcW w:w="11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0921CE1" w14:textId="77777777" w:rsidR="00FB5224" w:rsidRDefault="00000000">
            <w:pPr>
              <w:keepNext/>
              <w:spacing w:line="252" w:lineRule="auto"/>
            </w:pPr>
            <w:r>
              <w:rPr>
                <w:b/>
                <w:bCs/>
                <w:sz w:val="20"/>
                <w:szCs w:val="20"/>
              </w:rPr>
              <w:t>1</w:t>
            </w:r>
          </w:p>
        </w:tc>
        <w:tc>
          <w:tcPr>
            <w:tcW w:w="2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06AD9E6" w14:textId="77777777" w:rsidR="00FB5224" w:rsidRDefault="00000000">
            <w:pPr>
              <w:keepNext/>
              <w:spacing w:line="252" w:lineRule="auto"/>
              <w:jc w:val="center"/>
            </w:pPr>
            <w:r>
              <w:rPr>
                <w:sz w:val="20"/>
                <w:szCs w:val="20"/>
              </w:rPr>
              <w:t>100.00%</w:t>
            </w:r>
          </w:p>
        </w:tc>
        <w:tc>
          <w:tcPr>
            <w:tcW w:w="1975"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7E36378C" w14:textId="77777777" w:rsidR="00FB5224" w:rsidRDefault="00000000">
            <w:pPr>
              <w:keepNext/>
              <w:spacing w:line="252" w:lineRule="auto"/>
              <w:jc w:val="center"/>
            </w:pPr>
            <w:r>
              <w:rPr>
                <w:sz w:val="20"/>
                <w:szCs w:val="20"/>
              </w:rPr>
              <w:t>0.00%</w:t>
            </w:r>
          </w:p>
        </w:tc>
        <w:tc>
          <w:tcPr>
            <w:tcW w:w="1975"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0FE04C0" w14:textId="77777777" w:rsidR="00FB5224" w:rsidRDefault="00000000">
            <w:pPr>
              <w:keepNext/>
              <w:spacing w:line="252" w:lineRule="auto"/>
              <w:jc w:val="center"/>
            </w:pPr>
            <w:r>
              <w:rPr>
                <w:sz w:val="20"/>
                <w:szCs w:val="20"/>
              </w:rPr>
              <w:t>93.19%</w:t>
            </w:r>
          </w:p>
        </w:tc>
        <w:tc>
          <w:tcPr>
            <w:tcW w:w="197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C08FC37" w14:textId="77777777" w:rsidR="00FB5224" w:rsidRDefault="00000000">
            <w:pPr>
              <w:keepNext/>
              <w:spacing w:line="252" w:lineRule="auto"/>
              <w:jc w:val="center"/>
            </w:pPr>
            <w:r>
              <w:rPr>
                <w:sz w:val="20"/>
                <w:szCs w:val="20"/>
              </w:rPr>
              <w:t>6.81%</w:t>
            </w:r>
          </w:p>
        </w:tc>
      </w:tr>
      <w:tr w:rsidR="00FB5224" w14:paraId="366202FA" w14:textId="77777777">
        <w:trPr>
          <w:cantSplit/>
        </w:trPr>
        <w:tc>
          <w:tcPr>
            <w:tcW w:w="11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743670C" w14:textId="77777777" w:rsidR="00FB5224" w:rsidRDefault="00000000">
            <w:pPr>
              <w:keepNext/>
              <w:spacing w:line="252" w:lineRule="auto"/>
            </w:pPr>
            <w:r>
              <w:rPr>
                <w:b/>
                <w:bCs/>
                <w:sz w:val="20"/>
                <w:szCs w:val="20"/>
              </w:rPr>
              <w:t>5</w:t>
            </w:r>
          </w:p>
        </w:tc>
        <w:tc>
          <w:tcPr>
            <w:tcW w:w="2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7FD5128B" w14:textId="77777777" w:rsidR="00FB5224" w:rsidRDefault="00000000">
            <w:pPr>
              <w:keepNext/>
              <w:spacing w:line="252" w:lineRule="auto"/>
              <w:jc w:val="center"/>
            </w:pPr>
            <w:r>
              <w:rPr>
                <w:sz w:val="20"/>
                <w:szCs w:val="20"/>
              </w:rPr>
              <w:t>93.01%</w:t>
            </w:r>
          </w:p>
        </w:tc>
        <w:tc>
          <w:tcPr>
            <w:tcW w:w="1975"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C3560DF" w14:textId="77777777" w:rsidR="00FB5224" w:rsidRDefault="00000000">
            <w:pPr>
              <w:keepNext/>
              <w:spacing w:line="252" w:lineRule="auto"/>
              <w:jc w:val="center"/>
            </w:pPr>
            <w:r>
              <w:rPr>
                <w:sz w:val="20"/>
                <w:szCs w:val="20"/>
              </w:rPr>
              <w:t>6.99%</w:t>
            </w:r>
          </w:p>
        </w:tc>
        <w:tc>
          <w:tcPr>
            <w:tcW w:w="1975"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6D226F4" w14:textId="77777777" w:rsidR="00FB5224" w:rsidRDefault="00000000">
            <w:pPr>
              <w:keepNext/>
              <w:spacing w:line="252" w:lineRule="auto"/>
              <w:jc w:val="center"/>
            </w:pPr>
            <w:r>
              <w:rPr>
                <w:sz w:val="20"/>
                <w:szCs w:val="20"/>
              </w:rPr>
              <w:t>93.58%</w:t>
            </w:r>
          </w:p>
        </w:tc>
        <w:tc>
          <w:tcPr>
            <w:tcW w:w="197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72D0D40" w14:textId="77777777" w:rsidR="00FB5224" w:rsidRDefault="00000000">
            <w:pPr>
              <w:keepNext/>
              <w:spacing w:line="252" w:lineRule="auto"/>
              <w:jc w:val="center"/>
            </w:pPr>
            <w:r>
              <w:rPr>
                <w:sz w:val="20"/>
                <w:szCs w:val="20"/>
              </w:rPr>
              <w:t>6.42%</w:t>
            </w:r>
          </w:p>
        </w:tc>
      </w:tr>
      <w:tr w:rsidR="00FB5224" w14:paraId="78F8400C" w14:textId="77777777">
        <w:trPr>
          <w:cantSplit/>
        </w:trPr>
        <w:tc>
          <w:tcPr>
            <w:tcW w:w="11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69190989" w14:textId="77777777" w:rsidR="00FB5224" w:rsidRDefault="00000000">
            <w:pPr>
              <w:spacing w:line="252" w:lineRule="auto"/>
            </w:pPr>
            <w:r>
              <w:rPr>
                <w:b/>
                <w:bCs/>
                <w:sz w:val="20"/>
                <w:szCs w:val="20"/>
              </w:rPr>
              <w:t>10</w:t>
            </w:r>
          </w:p>
        </w:tc>
        <w:tc>
          <w:tcPr>
            <w:tcW w:w="20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008FA903" w14:textId="77777777" w:rsidR="00FB5224" w:rsidRDefault="00000000">
            <w:pPr>
              <w:spacing w:line="252" w:lineRule="auto"/>
              <w:jc w:val="center"/>
            </w:pPr>
            <w:r>
              <w:rPr>
                <w:sz w:val="20"/>
                <w:szCs w:val="20"/>
              </w:rPr>
              <w:t>89.82%</w:t>
            </w:r>
          </w:p>
        </w:tc>
        <w:tc>
          <w:tcPr>
            <w:tcW w:w="1975"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22537C35" w14:textId="77777777" w:rsidR="00FB5224" w:rsidRDefault="00000000">
            <w:pPr>
              <w:spacing w:line="252" w:lineRule="auto"/>
              <w:jc w:val="center"/>
            </w:pPr>
            <w:r>
              <w:rPr>
                <w:sz w:val="20"/>
                <w:szCs w:val="20"/>
              </w:rPr>
              <w:t>10.18%</w:t>
            </w:r>
          </w:p>
        </w:tc>
        <w:tc>
          <w:tcPr>
            <w:tcW w:w="1975"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77D0C5DC" w14:textId="77777777" w:rsidR="00FB5224" w:rsidRDefault="00000000">
            <w:pPr>
              <w:spacing w:line="252" w:lineRule="auto"/>
              <w:jc w:val="center"/>
            </w:pPr>
            <w:r>
              <w:rPr>
                <w:sz w:val="20"/>
                <w:szCs w:val="20"/>
              </w:rPr>
              <w:t>90.21%</w:t>
            </w:r>
          </w:p>
        </w:tc>
        <w:tc>
          <w:tcPr>
            <w:tcW w:w="197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1F436EA4" w14:textId="77777777" w:rsidR="00FB5224" w:rsidRDefault="00000000">
            <w:pPr>
              <w:spacing w:line="252" w:lineRule="auto"/>
              <w:jc w:val="center"/>
            </w:pPr>
            <w:r>
              <w:rPr>
                <w:sz w:val="20"/>
                <w:szCs w:val="20"/>
              </w:rPr>
              <w:t>9.79%</w:t>
            </w:r>
          </w:p>
        </w:tc>
      </w:tr>
    </w:tbl>
    <w:p w14:paraId="66BE0E95" w14:textId="77777777" w:rsidR="00FB5224" w:rsidRDefault="00FB5224">
      <w:pPr>
        <w:spacing w:after="120"/>
      </w:pPr>
    </w:p>
    <w:p w14:paraId="24425EA5" w14:textId="77777777" w:rsidR="00FB5224" w:rsidRDefault="00000000">
      <w:pPr>
        <w:spacing w:after="140" w:line="300" w:lineRule="auto"/>
        <w:jc w:val="both"/>
      </w:pPr>
      <w:r>
        <w:t>At the 10-period horizon, own shocks explain 89.82% of LGDP forecast-error variance and LFCE shocks 10.18%; for LFCE, GDP shocks explain 90.21% and own shocks 9.79%. The contribution of FCE shocks to GDP rises across horizons, indicating strong dynamic interaction within the system.</w:t>
      </w:r>
    </w:p>
    <w:p w14:paraId="2135A4BA" w14:textId="77777777" w:rsidR="00FB5224" w:rsidRDefault="00000000">
      <w:pPr>
        <w:pBdr>
          <w:left w:val="single" w:sz="24" w:space="8" w:color="2E75B6"/>
        </w:pBdr>
        <w:shd w:val="clear" w:color="auto" w:fill="EAF1F8"/>
        <w:spacing w:before="80" w:after="160" w:line="276" w:lineRule="auto"/>
        <w:ind w:left="200" w:right="100"/>
      </w:pPr>
      <w:r>
        <w:rPr>
          <w:b/>
          <w:bCs/>
          <w:color w:val="1F4E79"/>
        </w:rPr>
        <w:t xml:space="preserve">Caution. </w:t>
      </w:r>
      <w:r>
        <w:t xml:space="preserve">These are forecast-error variance shares, </w:t>
      </w:r>
      <w:r>
        <w:rPr>
          <w:b/>
          <w:bCs/>
        </w:rPr>
        <w:t>not causal effects</w:t>
      </w:r>
      <w:r>
        <w:t>. Cholesky decomposition is ordering-dependent: placing LGDP first imposes contemporaneous identification through that ordering, so the percentages should not be described as order-free causal contributions.</w:t>
      </w:r>
    </w:p>
    <w:p w14:paraId="21FD43AC" w14:textId="77777777" w:rsidR="00FB5224" w:rsidRDefault="00000000">
      <w:pPr>
        <w:pStyle w:val="Heading1"/>
        <w:keepNext/>
      </w:pPr>
      <w:r>
        <w:t>14. VECM Residual Diagnostics</w:t>
      </w:r>
    </w:p>
    <w:p w14:paraId="0C19D7A2" w14:textId="77777777" w:rsidR="00FB5224" w:rsidRDefault="00000000">
      <w:pPr>
        <w:spacing w:after="140" w:line="300" w:lineRule="auto"/>
        <w:jc w:val="both"/>
      </w:pPr>
      <w:r>
        <w:t>Diagnostics assess whether the VECM residuals satisfy the classical assumptions underlying standard inference.</w:t>
      </w:r>
    </w:p>
    <w:p w14:paraId="56721387" w14:textId="77777777" w:rsidR="00FB5224" w:rsidRDefault="00000000">
      <w:pPr>
        <w:keepNext/>
        <w:spacing w:before="160" w:after="80"/>
      </w:pPr>
      <w:r>
        <w:rPr>
          <w:b/>
          <w:bCs/>
          <w:i/>
          <w:iCs/>
          <w:color w:val="1F4E79"/>
          <w:sz w:val="21"/>
          <w:szCs w:val="21"/>
        </w:rPr>
        <w:t>Table 13. VECM residual diagnostics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00"/>
        <w:gridCol w:w="1700"/>
        <w:gridCol w:w="2526"/>
      </w:tblGrid>
      <w:tr w:rsidR="00FB5224" w14:paraId="246B87E9" w14:textId="77777777">
        <w:trPr>
          <w:tblHeader/>
        </w:trPr>
        <w:tc>
          <w:tcPr>
            <w:tcW w:w="27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71640C4A" w14:textId="77777777" w:rsidR="00FB5224" w:rsidRDefault="00000000">
            <w:pPr>
              <w:keepNext/>
              <w:spacing w:line="252" w:lineRule="auto"/>
            </w:pPr>
            <w:r>
              <w:rPr>
                <w:b/>
                <w:bCs/>
                <w:color w:val="1F4E79"/>
                <w:sz w:val="20"/>
                <w:szCs w:val="20"/>
              </w:rPr>
              <w:t>Diagnostic</w:t>
            </w:r>
          </w:p>
        </w:tc>
        <w:tc>
          <w:tcPr>
            <w:tcW w:w="21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26386274" w14:textId="77777777" w:rsidR="00FB5224" w:rsidRDefault="00000000">
            <w:pPr>
              <w:keepNext/>
              <w:spacing w:line="252" w:lineRule="auto"/>
            </w:pPr>
            <w:r>
              <w:rPr>
                <w:b/>
                <w:bCs/>
                <w:color w:val="1F4E79"/>
                <w:sz w:val="20"/>
                <w:szCs w:val="20"/>
              </w:rPr>
              <w:t>Null hypothesis</w:t>
            </w:r>
          </w:p>
        </w:tc>
        <w:tc>
          <w:tcPr>
            <w:tcW w:w="17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5C25C173" w14:textId="77777777" w:rsidR="00FB5224" w:rsidRDefault="00000000">
            <w:pPr>
              <w:keepNext/>
              <w:spacing w:line="252" w:lineRule="auto"/>
            </w:pPr>
            <w:r>
              <w:rPr>
                <w:b/>
                <w:bCs/>
                <w:color w:val="1F4E79"/>
                <w:sz w:val="20"/>
                <w:szCs w:val="20"/>
              </w:rPr>
              <w:t>Result</w:t>
            </w:r>
          </w:p>
        </w:tc>
        <w:tc>
          <w:tcPr>
            <w:tcW w:w="2526"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2F7B334B" w14:textId="77777777" w:rsidR="00FB5224" w:rsidRDefault="00000000">
            <w:pPr>
              <w:keepNext/>
              <w:spacing w:line="252" w:lineRule="auto"/>
            </w:pPr>
            <w:r>
              <w:rPr>
                <w:b/>
                <w:bCs/>
                <w:color w:val="1F4E79"/>
                <w:sz w:val="20"/>
                <w:szCs w:val="20"/>
              </w:rPr>
              <w:t>Conclusion</w:t>
            </w:r>
          </w:p>
        </w:tc>
      </w:tr>
      <w:tr w:rsidR="00FB5224" w14:paraId="6FCC1B10" w14:textId="77777777">
        <w:trPr>
          <w:cantSplit/>
        </w:trPr>
        <w:tc>
          <w:tcPr>
            <w:tcW w:w="2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C49A9F2" w14:textId="77777777" w:rsidR="00FB5224" w:rsidRDefault="00000000">
            <w:pPr>
              <w:keepNext/>
              <w:spacing w:line="252" w:lineRule="auto"/>
            </w:pPr>
            <w:r>
              <w:rPr>
                <w:b/>
                <w:bCs/>
                <w:sz w:val="20"/>
                <w:szCs w:val="20"/>
              </w:rPr>
              <w:t>Serial correlation LM (lag 1)</w:t>
            </w:r>
          </w:p>
        </w:tc>
        <w:tc>
          <w:tcPr>
            <w:tcW w:w="21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1097A83" w14:textId="77777777" w:rsidR="00FB5224" w:rsidRDefault="00000000">
            <w:pPr>
              <w:keepNext/>
              <w:spacing w:line="252" w:lineRule="auto"/>
            </w:pPr>
            <w:r>
              <w:rPr>
                <w:sz w:val="20"/>
                <w:szCs w:val="20"/>
              </w:rPr>
              <w:t>No serial correlation</w:t>
            </w:r>
          </w:p>
        </w:tc>
        <w:tc>
          <w:tcPr>
            <w:tcW w:w="1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3ADC603" w14:textId="77777777" w:rsidR="00FB5224" w:rsidRDefault="00000000">
            <w:pPr>
              <w:keepNext/>
              <w:spacing w:line="252" w:lineRule="auto"/>
            </w:pPr>
            <w:r>
              <w:rPr>
                <w:sz w:val="20"/>
                <w:szCs w:val="20"/>
              </w:rPr>
              <w:t>p = 0.0081</w:t>
            </w:r>
          </w:p>
        </w:tc>
        <w:tc>
          <w:tcPr>
            <w:tcW w:w="25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C92336F" w14:textId="77777777" w:rsidR="00FB5224" w:rsidRDefault="00000000">
            <w:pPr>
              <w:keepNext/>
              <w:spacing w:line="252" w:lineRule="auto"/>
            </w:pPr>
            <w:r>
              <w:rPr>
                <w:sz w:val="20"/>
                <w:szCs w:val="20"/>
              </w:rPr>
              <w:t>Reject; residual serial correlation present at lag 1</w:t>
            </w:r>
          </w:p>
        </w:tc>
      </w:tr>
      <w:tr w:rsidR="00FB5224" w14:paraId="3AD36A3F" w14:textId="77777777">
        <w:trPr>
          <w:cantSplit/>
        </w:trPr>
        <w:tc>
          <w:tcPr>
            <w:tcW w:w="2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4372AAE" w14:textId="77777777" w:rsidR="00FB5224" w:rsidRDefault="00000000">
            <w:pPr>
              <w:keepNext/>
              <w:spacing w:line="252" w:lineRule="auto"/>
            </w:pPr>
            <w:r>
              <w:rPr>
                <w:b/>
                <w:bCs/>
                <w:sz w:val="20"/>
                <w:szCs w:val="20"/>
              </w:rPr>
              <w:t>Multivariate normality (</w:t>
            </w:r>
            <w:proofErr w:type="spellStart"/>
            <w:r>
              <w:rPr>
                <w:b/>
                <w:bCs/>
                <w:sz w:val="20"/>
                <w:szCs w:val="20"/>
              </w:rPr>
              <w:t>Lütkepohl</w:t>
            </w:r>
            <w:proofErr w:type="spellEnd"/>
            <w:r>
              <w:rPr>
                <w:b/>
                <w:bCs/>
                <w:sz w:val="20"/>
                <w:szCs w:val="20"/>
              </w:rPr>
              <w:t>, Cholesky of covariance)</w:t>
            </w:r>
          </w:p>
        </w:tc>
        <w:tc>
          <w:tcPr>
            <w:tcW w:w="21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36CFE0C" w14:textId="77777777" w:rsidR="00FB5224" w:rsidRDefault="00000000">
            <w:pPr>
              <w:keepNext/>
              <w:spacing w:line="252" w:lineRule="auto"/>
            </w:pPr>
            <w:r>
              <w:rPr>
                <w:sz w:val="20"/>
                <w:szCs w:val="20"/>
              </w:rPr>
              <w:t>Residuals are multivariate normal</w:t>
            </w:r>
          </w:p>
        </w:tc>
        <w:tc>
          <w:tcPr>
            <w:tcW w:w="17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75AEBFA" w14:textId="77777777" w:rsidR="00FB5224" w:rsidRDefault="00000000">
            <w:pPr>
              <w:keepNext/>
              <w:spacing w:line="252" w:lineRule="auto"/>
            </w:pPr>
            <w:r>
              <w:rPr>
                <w:sz w:val="20"/>
                <w:szCs w:val="20"/>
              </w:rPr>
              <w:t>Joint JB p = 0.0000</w:t>
            </w:r>
          </w:p>
        </w:tc>
        <w:tc>
          <w:tcPr>
            <w:tcW w:w="25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61B9297" w14:textId="77777777" w:rsidR="00FB5224" w:rsidRDefault="00000000">
            <w:pPr>
              <w:keepNext/>
              <w:spacing w:line="252" w:lineRule="auto"/>
            </w:pPr>
            <w:r>
              <w:rPr>
                <w:sz w:val="20"/>
                <w:szCs w:val="20"/>
              </w:rPr>
              <w:t>Reject multivariate normality</w:t>
            </w:r>
          </w:p>
        </w:tc>
      </w:tr>
      <w:tr w:rsidR="00FB5224" w14:paraId="369A43D2" w14:textId="77777777">
        <w:trPr>
          <w:cantSplit/>
        </w:trPr>
        <w:tc>
          <w:tcPr>
            <w:tcW w:w="27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5B9FBFFD" w14:textId="77777777" w:rsidR="00FB5224" w:rsidRDefault="00000000">
            <w:pPr>
              <w:spacing w:line="252" w:lineRule="auto"/>
            </w:pPr>
            <w:r>
              <w:rPr>
                <w:b/>
                <w:bCs/>
                <w:sz w:val="20"/>
                <w:szCs w:val="20"/>
              </w:rPr>
              <w:t>White heteroskedasticity (no cross terms)</w:t>
            </w:r>
          </w:p>
        </w:tc>
        <w:tc>
          <w:tcPr>
            <w:tcW w:w="21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1A95233B" w14:textId="77777777" w:rsidR="00FB5224" w:rsidRDefault="00000000">
            <w:pPr>
              <w:spacing w:line="252" w:lineRule="auto"/>
            </w:pPr>
            <w:r>
              <w:rPr>
                <w:sz w:val="20"/>
                <w:szCs w:val="20"/>
              </w:rPr>
              <w:t>Homoskedasticity</w:t>
            </w:r>
          </w:p>
        </w:tc>
        <w:tc>
          <w:tcPr>
            <w:tcW w:w="17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66754B80" w14:textId="77777777" w:rsidR="00FB5224" w:rsidRDefault="00000000">
            <w:pPr>
              <w:spacing w:line="252" w:lineRule="auto"/>
            </w:pPr>
            <w:r>
              <w:rPr>
                <w:sz w:val="20"/>
                <w:szCs w:val="20"/>
              </w:rPr>
              <w:t>Joint p = 0.0003</w:t>
            </w:r>
          </w:p>
        </w:tc>
        <w:tc>
          <w:tcPr>
            <w:tcW w:w="252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3CDE48C3" w14:textId="77777777" w:rsidR="00FB5224" w:rsidRDefault="00000000">
            <w:pPr>
              <w:spacing w:line="252" w:lineRule="auto"/>
            </w:pPr>
            <w:r>
              <w:rPr>
                <w:sz w:val="20"/>
                <w:szCs w:val="20"/>
              </w:rPr>
              <w:t>Reject; evidence of heteroskedasticity</w:t>
            </w:r>
          </w:p>
        </w:tc>
      </w:tr>
    </w:tbl>
    <w:p w14:paraId="5728A71B" w14:textId="77777777" w:rsidR="00FB5224" w:rsidRDefault="00FB5224">
      <w:pPr>
        <w:spacing w:after="120"/>
      </w:pPr>
    </w:p>
    <w:p w14:paraId="4D9F8C27" w14:textId="77777777" w:rsidR="00FB5224" w:rsidRDefault="00000000">
      <w:pPr>
        <w:spacing w:after="140" w:line="300" w:lineRule="auto"/>
        <w:jc w:val="both"/>
      </w:pPr>
      <w:r>
        <w:rPr>
          <w:b/>
          <w:bCs/>
        </w:rPr>
        <w:lastRenderedPageBreak/>
        <w:t>Implications.</w:t>
      </w:r>
      <w:r>
        <w:t xml:space="preserve"> The LM result suggests the VAR(1)/VECM (zero difference lags) specification may not fully capture all serial dynamics. The normality and heteroskedasticity results indicate that the classical residual assumptions are not fully satisfied, so t-statistics and Wald statistics should be interpreted with caution.</w:t>
      </w:r>
    </w:p>
    <w:p w14:paraId="7CD089BC" w14:textId="77777777" w:rsidR="00FB5224" w:rsidRDefault="00000000">
      <w:pPr>
        <w:pBdr>
          <w:left w:val="single" w:sz="24" w:space="8" w:color="2E75B6"/>
        </w:pBdr>
        <w:shd w:val="clear" w:color="auto" w:fill="EAF1F8"/>
        <w:spacing w:before="80" w:after="160" w:line="276" w:lineRule="auto"/>
        <w:ind w:left="200" w:right="100"/>
      </w:pPr>
      <w:r>
        <w:rPr>
          <w:b/>
          <w:bCs/>
          <w:color w:val="1F4E79"/>
        </w:rPr>
        <w:t xml:space="preserve">Balanced reading. </w:t>
      </w:r>
      <w:r>
        <w:t>These are weaknesses of the estimated residual process, not automatic proof that the VECM is invalid or that the economic relationship is meaningless. They should be reported transparently alongside the main results.</w:t>
      </w:r>
    </w:p>
    <w:p w14:paraId="6740DBC5" w14:textId="77777777" w:rsidR="00FB5224" w:rsidRDefault="00000000">
      <w:pPr>
        <w:pStyle w:val="Heading1"/>
        <w:keepNext/>
      </w:pPr>
      <w:r>
        <w:t>15. Overall Economic Interpretation</w:t>
      </w:r>
    </w:p>
    <w:p w14:paraId="3E3BF2C0" w14:textId="77777777" w:rsidR="00FB5224" w:rsidRDefault="00000000">
      <w:pPr>
        <w:spacing w:after="140" w:line="300" w:lineRule="auto"/>
        <w:jc w:val="both"/>
      </w:pPr>
      <w:r>
        <w:t>The evidence from Sections 4–14 can be synthesized along four dimensions.</w:t>
      </w:r>
    </w:p>
    <w:p w14:paraId="1CDC95F4" w14:textId="77777777" w:rsidR="00FB5224" w:rsidRDefault="00000000">
      <w:pPr>
        <w:pStyle w:val="ListParagraph"/>
        <w:numPr>
          <w:ilvl w:val="0"/>
          <w:numId w:val="2"/>
        </w:numPr>
        <w:spacing w:after="60" w:line="276" w:lineRule="auto"/>
      </w:pPr>
      <w:r>
        <w:rPr>
          <w:b/>
          <w:bCs/>
        </w:rPr>
        <w:t>Long run.</w:t>
      </w:r>
      <w:r>
        <w:t xml:space="preserve"> Both series are I(1) and are tied by one cointegrating relation. Johansen supports this at 5%, while Engle–Granger supports it only at 10%. The long-run coefficient of 1.042816 is an equilibrium association, not a causal multiplier.</w:t>
      </w:r>
    </w:p>
    <w:p w14:paraId="55718230" w14:textId="77777777" w:rsidR="00FB5224" w:rsidRDefault="00000000">
      <w:pPr>
        <w:pStyle w:val="ListParagraph"/>
        <w:numPr>
          <w:ilvl w:val="0"/>
          <w:numId w:val="2"/>
        </w:numPr>
        <w:spacing w:after="60" w:line="276" w:lineRule="auto"/>
      </w:pPr>
      <w:r>
        <w:rPr>
          <w:b/>
          <w:bCs/>
        </w:rPr>
        <w:t>Short run.</w:t>
      </w:r>
      <w:r>
        <w:t xml:space="preserve"> Changes in FCE and GDP move strongly together, and deviations from equilibrium are corrected. In the VECM, consumption expenditure carries the statistically significant adjustment, while GDP does not at 5%.</w:t>
      </w:r>
    </w:p>
    <w:p w14:paraId="7E9C4F63" w14:textId="77777777" w:rsidR="00FB5224" w:rsidRDefault="00000000">
      <w:pPr>
        <w:pStyle w:val="ListParagraph"/>
        <w:numPr>
          <w:ilvl w:val="0"/>
          <w:numId w:val="2"/>
        </w:numPr>
        <w:spacing w:after="60" w:line="276" w:lineRule="auto"/>
      </w:pPr>
      <w:r>
        <w:rPr>
          <w:b/>
          <w:bCs/>
        </w:rPr>
        <w:t>Predictive and dynamic linkages.</w:t>
      </w:r>
      <w:r>
        <w:t xml:space="preserve"> Toda–Yamamoto finds no Granger causality in either direction, which does not contradict cointegration. Shocks produce positive, persistent responses, and the variance decomposition shows strong interaction, with GDP shocks explaining most of LFCE forecast-error variance.</w:t>
      </w:r>
    </w:p>
    <w:p w14:paraId="4D9E9501" w14:textId="77777777" w:rsidR="00FB5224" w:rsidRDefault="00000000">
      <w:pPr>
        <w:pStyle w:val="ListParagraph"/>
        <w:numPr>
          <w:ilvl w:val="0"/>
          <w:numId w:val="2"/>
        </w:numPr>
        <w:spacing w:after="60" w:line="276" w:lineRule="auto"/>
      </w:pPr>
      <w:r>
        <w:rPr>
          <w:b/>
          <w:bCs/>
        </w:rPr>
        <w:t>Reliability.</w:t>
      </w:r>
      <w:r>
        <w:t xml:space="preserve"> Residual serial correlation, non-normality and heteroskedasticity mean the results should be presented with caution.</w:t>
      </w:r>
    </w:p>
    <w:p w14:paraId="57C733EF" w14:textId="77777777" w:rsidR="00FB5224" w:rsidRDefault="00000000">
      <w:pPr>
        <w:pStyle w:val="Heading1"/>
        <w:keepNext/>
      </w:pPr>
      <w:r>
        <w:t>16. Limitations</w:t>
      </w:r>
    </w:p>
    <w:p w14:paraId="1020393C" w14:textId="77777777" w:rsidR="00FB5224" w:rsidRDefault="00000000">
      <w:pPr>
        <w:pStyle w:val="ListParagraph"/>
        <w:numPr>
          <w:ilvl w:val="0"/>
          <w:numId w:val="2"/>
        </w:numPr>
        <w:spacing w:after="60" w:line="276" w:lineRule="auto"/>
      </w:pPr>
      <w:r>
        <w:rPr>
          <w:b/>
          <w:bCs/>
        </w:rPr>
        <w:t>Residual diagnostics.</w:t>
      </w:r>
      <w:r>
        <w:t xml:space="preserve"> The VECM residuals show serial correlation, non-normality and heteroskedasticity, so classical inference is not fully supported.</w:t>
      </w:r>
    </w:p>
    <w:p w14:paraId="3F406B5E" w14:textId="77777777" w:rsidR="00FB5224" w:rsidRDefault="00000000">
      <w:pPr>
        <w:pStyle w:val="ListParagraph"/>
        <w:numPr>
          <w:ilvl w:val="0"/>
          <w:numId w:val="2"/>
        </w:numPr>
        <w:spacing w:after="60" w:line="276" w:lineRule="auto"/>
      </w:pPr>
      <w:r>
        <w:rPr>
          <w:b/>
          <w:bCs/>
        </w:rPr>
        <w:t>Diagnostics not completed.</w:t>
      </w:r>
      <w:r>
        <w:t xml:space="preserve"> Separate unrestricted-VAR diagnostics were not treated as part of the completed final workflow, and extra checks such as RESET, CUSUM or structural-break tests were not performed.</w:t>
      </w:r>
    </w:p>
    <w:p w14:paraId="2563D44F" w14:textId="77777777" w:rsidR="00FB5224" w:rsidRDefault="00000000">
      <w:pPr>
        <w:pStyle w:val="ListParagraph"/>
        <w:numPr>
          <w:ilvl w:val="0"/>
          <w:numId w:val="2"/>
        </w:numPr>
        <w:spacing w:after="60" w:line="276" w:lineRule="auto"/>
      </w:pPr>
      <w:r>
        <w:rPr>
          <w:b/>
          <w:bCs/>
        </w:rPr>
        <w:t>Unmodelled regime changes.</w:t>
      </w:r>
      <w:r>
        <w:t xml:space="preserve"> The economic episodes summarized in Section 3.2 are background only; their influence on the long-run relationship was not tested, and no structural-break tests were performed.</w:t>
      </w:r>
    </w:p>
    <w:p w14:paraId="01D4A867" w14:textId="77777777" w:rsidR="00FB5224" w:rsidRDefault="00000000">
      <w:pPr>
        <w:pStyle w:val="ListParagraph"/>
        <w:numPr>
          <w:ilvl w:val="0"/>
          <w:numId w:val="2"/>
        </w:numPr>
        <w:spacing w:after="60" w:line="276" w:lineRule="auto"/>
      </w:pPr>
      <w:r>
        <w:rPr>
          <w:b/>
          <w:bCs/>
        </w:rPr>
        <w:t>Sample size.</w:t>
      </w:r>
      <w:r>
        <w:t xml:space="preserve"> The analysis rests on 56 annual observations, a modest sample for estimating multivariate dynamics.</w:t>
      </w:r>
    </w:p>
    <w:p w14:paraId="564D38C1" w14:textId="77777777" w:rsidR="00FB5224" w:rsidRDefault="00000000">
      <w:pPr>
        <w:pStyle w:val="ListParagraph"/>
        <w:numPr>
          <w:ilvl w:val="0"/>
          <w:numId w:val="2"/>
        </w:numPr>
        <w:spacing w:after="60" w:line="276" w:lineRule="auto"/>
      </w:pPr>
      <w:r>
        <w:rPr>
          <w:b/>
          <w:bCs/>
        </w:rPr>
        <w:t>Weak EG evidence.</w:t>
      </w:r>
      <w:r>
        <w:t xml:space="preserve"> The Engle–Granger test supports cointegration only at 10%, which limits the weight placed on the ECM.</w:t>
      </w:r>
    </w:p>
    <w:p w14:paraId="6B872CF0" w14:textId="77777777" w:rsidR="00FB5224" w:rsidRDefault="00000000">
      <w:pPr>
        <w:pStyle w:val="ListParagraph"/>
        <w:numPr>
          <w:ilvl w:val="0"/>
          <w:numId w:val="2"/>
        </w:numPr>
        <w:spacing w:after="60" w:line="276" w:lineRule="auto"/>
      </w:pPr>
      <w:r>
        <w:rPr>
          <w:b/>
          <w:bCs/>
        </w:rPr>
        <w:t>IRF inference.</w:t>
      </w:r>
      <w:r>
        <w:t xml:space="preserve"> Standard errors were unavailable in the reported VECM IRF output, so responses are described by sign and persistence only.</w:t>
      </w:r>
    </w:p>
    <w:p w14:paraId="3BD3E873" w14:textId="77777777" w:rsidR="00FB5224" w:rsidRDefault="00000000">
      <w:pPr>
        <w:pStyle w:val="ListParagraph"/>
        <w:numPr>
          <w:ilvl w:val="0"/>
          <w:numId w:val="2"/>
        </w:numPr>
        <w:spacing w:after="60" w:line="276" w:lineRule="auto"/>
      </w:pPr>
      <w:r>
        <w:rPr>
          <w:b/>
          <w:bCs/>
        </w:rPr>
        <w:t>Ordering dependence.</w:t>
      </w:r>
      <w:r>
        <w:t xml:space="preserve"> The Cholesky FEVD depends on the ordering LGDP → LFCE.</w:t>
      </w:r>
    </w:p>
    <w:p w14:paraId="4B8967F5" w14:textId="77777777" w:rsidR="00FB5224" w:rsidRDefault="00000000">
      <w:pPr>
        <w:pStyle w:val="ListParagraph"/>
        <w:numPr>
          <w:ilvl w:val="0"/>
          <w:numId w:val="2"/>
        </w:numPr>
        <w:spacing w:after="60" w:line="276" w:lineRule="auto"/>
      </w:pPr>
      <w:r>
        <w:rPr>
          <w:b/>
          <w:bCs/>
        </w:rPr>
        <w:t>Association versus causality.</w:t>
      </w:r>
      <w:r>
        <w:t xml:space="preserve"> The 1.042816 coefficient is an equilibrium association, not a causal consumption multiplier, and the results do not constitute a causally identified structural model.</w:t>
      </w:r>
    </w:p>
    <w:p w14:paraId="7165F638" w14:textId="77777777" w:rsidR="00FB5224" w:rsidRDefault="00000000">
      <w:pPr>
        <w:pStyle w:val="Heading1"/>
        <w:keepNext/>
      </w:pPr>
      <w:r>
        <w:lastRenderedPageBreak/>
        <w:t>17. Conclusion</w:t>
      </w:r>
    </w:p>
    <w:p w14:paraId="6FA3C8D6" w14:textId="77777777" w:rsidR="00FB5224" w:rsidRDefault="00000000">
      <w:pPr>
        <w:spacing w:after="140" w:line="300" w:lineRule="auto"/>
        <w:jc w:val="both"/>
      </w:pPr>
      <w:r>
        <w:rPr>
          <w:b/>
          <w:bCs/>
        </w:rPr>
        <w:t>Answer to the research question.</w:t>
      </w:r>
      <w:r>
        <w:t xml:space="preserve"> Over 1970–2025, Israeli GDP and Final Consumption Expenditure are related through a stable long-run equilibrium (one Johansen cointegrating vector; LGDP = 1.042816 LFCE − 0.829802) and move strongly together in the short run. Disequilibrium is corrected mainly through consumption expenditure, since the VECM adjustment is significant for LFCE but not for LGDP at 5%. Shocks to either variable have positive, persistent effects, yet no Granger causality is detected in either direction. The findings therefore describe a meaningful dynamic relationship, not a causally identified structural model, and should be read with the residual-diagnostic caveats in mind.</w:t>
      </w:r>
    </w:p>
    <w:p w14:paraId="795CBBBD" w14:textId="77777777" w:rsidR="00FB5224" w:rsidRDefault="00000000">
      <w:pPr>
        <w:pStyle w:val="Heading1"/>
        <w:keepNext/>
      </w:pPr>
      <w:r>
        <w:t>Key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526"/>
      </w:tblGrid>
      <w:tr w:rsidR="00FB5224" w14:paraId="7BC24616" w14:textId="77777777">
        <w:trPr>
          <w:tblHeader/>
        </w:trPr>
        <w:tc>
          <w:tcPr>
            <w:tcW w:w="15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759B478E" w14:textId="77777777" w:rsidR="00FB5224" w:rsidRDefault="00000000">
            <w:pPr>
              <w:keepNext/>
              <w:spacing w:line="252" w:lineRule="auto"/>
            </w:pPr>
            <w:r>
              <w:rPr>
                <w:b/>
                <w:bCs/>
                <w:color w:val="1F4E79"/>
                <w:sz w:val="20"/>
                <w:szCs w:val="20"/>
              </w:rPr>
              <w:t>Area</w:t>
            </w:r>
          </w:p>
        </w:tc>
        <w:tc>
          <w:tcPr>
            <w:tcW w:w="4000"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61150334" w14:textId="77777777" w:rsidR="00FB5224" w:rsidRDefault="00000000">
            <w:pPr>
              <w:keepNext/>
              <w:spacing w:line="252" w:lineRule="auto"/>
            </w:pPr>
            <w:r>
              <w:rPr>
                <w:b/>
                <w:bCs/>
                <w:color w:val="1F4E79"/>
                <w:sz w:val="20"/>
                <w:szCs w:val="20"/>
              </w:rPr>
              <w:t>Key result</w:t>
            </w:r>
          </w:p>
        </w:tc>
        <w:tc>
          <w:tcPr>
            <w:tcW w:w="3526" w:type="dxa"/>
            <w:tcBorders>
              <w:top w:val="single" w:sz="12" w:space="0" w:color="1F4E79"/>
              <w:left w:val="none" w:sz="0" w:space="0" w:color="FFFFFF"/>
              <w:bottom w:val="single" w:sz="6" w:space="0" w:color="1F4E79"/>
              <w:right w:val="none" w:sz="0" w:space="0" w:color="FFFFFF"/>
            </w:tcBorders>
            <w:shd w:val="clear" w:color="auto" w:fill="EAF1F8"/>
            <w:tcMar>
              <w:top w:w="70" w:type="dxa"/>
              <w:left w:w="110" w:type="dxa"/>
              <w:bottom w:w="70" w:type="dxa"/>
              <w:right w:w="110" w:type="dxa"/>
            </w:tcMar>
            <w:vAlign w:val="center"/>
          </w:tcPr>
          <w:p w14:paraId="7E28BC07" w14:textId="77777777" w:rsidR="00FB5224" w:rsidRDefault="00000000">
            <w:pPr>
              <w:keepNext/>
              <w:spacing w:line="252" w:lineRule="auto"/>
            </w:pPr>
            <w:r>
              <w:rPr>
                <w:b/>
                <w:bCs/>
                <w:color w:val="1F4E79"/>
                <w:sz w:val="20"/>
                <w:szCs w:val="20"/>
              </w:rPr>
              <w:t>Interpretation</w:t>
            </w:r>
          </w:p>
        </w:tc>
      </w:tr>
      <w:tr w:rsidR="00FB5224" w14:paraId="3D812B0C" w14:textId="77777777">
        <w:trPr>
          <w:cantSplit/>
        </w:trPr>
        <w:tc>
          <w:tcPr>
            <w:tcW w:w="15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707A969" w14:textId="77777777" w:rsidR="00FB5224" w:rsidRDefault="00000000">
            <w:pPr>
              <w:keepNext/>
              <w:spacing w:line="252" w:lineRule="auto"/>
            </w:pPr>
            <w:r>
              <w:rPr>
                <w:b/>
                <w:bCs/>
                <w:sz w:val="20"/>
                <w:szCs w:val="20"/>
              </w:rPr>
              <w:t>Stationarity</w:t>
            </w:r>
          </w:p>
        </w:tc>
        <w:tc>
          <w:tcPr>
            <w:tcW w:w="4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BFAFEE2" w14:textId="77777777" w:rsidR="00FB5224" w:rsidRDefault="00000000">
            <w:pPr>
              <w:keepNext/>
              <w:spacing w:line="252" w:lineRule="auto"/>
            </w:pPr>
            <w:r>
              <w:rPr>
                <w:sz w:val="20"/>
                <w:szCs w:val="20"/>
              </w:rPr>
              <w:t>LGDP ADF −1.864445 (p = 0.3463); LFCE −1.761637 (p = 0.3953); first differences p = 0.0000</w:t>
            </w:r>
          </w:p>
        </w:tc>
        <w:tc>
          <w:tcPr>
            <w:tcW w:w="35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710E07E" w14:textId="77777777" w:rsidR="00FB5224" w:rsidRDefault="00000000">
            <w:pPr>
              <w:keepNext/>
              <w:spacing w:line="252" w:lineRule="auto"/>
            </w:pPr>
            <w:r>
              <w:rPr>
                <w:sz w:val="20"/>
                <w:szCs w:val="20"/>
              </w:rPr>
              <w:t>Both series are I(1)</w:t>
            </w:r>
          </w:p>
        </w:tc>
      </w:tr>
      <w:tr w:rsidR="00FB5224" w14:paraId="186552E4" w14:textId="77777777">
        <w:trPr>
          <w:cantSplit/>
        </w:trPr>
        <w:tc>
          <w:tcPr>
            <w:tcW w:w="15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F5D4D11" w14:textId="77777777" w:rsidR="00FB5224" w:rsidRDefault="00000000">
            <w:pPr>
              <w:keepNext/>
              <w:spacing w:line="252" w:lineRule="auto"/>
            </w:pPr>
            <w:r>
              <w:rPr>
                <w:b/>
                <w:bCs/>
                <w:sz w:val="20"/>
                <w:szCs w:val="20"/>
              </w:rPr>
              <w:t>Cointegration</w:t>
            </w:r>
          </w:p>
        </w:tc>
        <w:tc>
          <w:tcPr>
            <w:tcW w:w="4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962599E" w14:textId="77777777" w:rsidR="00FB5224" w:rsidRDefault="00000000">
            <w:pPr>
              <w:keepNext/>
              <w:spacing w:line="252" w:lineRule="auto"/>
            </w:pPr>
            <w:r>
              <w:rPr>
                <w:sz w:val="20"/>
                <w:szCs w:val="20"/>
              </w:rPr>
              <w:t>EG: ADF −1.910393, p = 0.0542. Johansen: one vector (trace 20.75469, p = 0.0073; max-eigen 17.41213, p = 0.0154). LGDP = 1.042816 LFCE − 0.829802</w:t>
            </w:r>
          </w:p>
        </w:tc>
        <w:tc>
          <w:tcPr>
            <w:tcW w:w="35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D14F770" w14:textId="77777777" w:rsidR="00FB5224" w:rsidRDefault="00000000">
            <w:pPr>
              <w:keepNext/>
              <w:spacing w:line="252" w:lineRule="auto"/>
            </w:pPr>
            <w:r>
              <w:rPr>
                <w:sz w:val="20"/>
                <w:szCs w:val="20"/>
              </w:rPr>
              <w:t>EG borderline at 10% only; Johansen r = 1 at 5%; long-run elasticity-type association</w:t>
            </w:r>
          </w:p>
        </w:tc>
      </w:tr>
      <w:tr w:rsidR="00FB5224" w14:paraId="42DF9B85" w14:textId="77777777">
        <w:trPr>
          <w:cantSplit/>
        </w:trPr>
        <w:tc>
          <w:tcPr>
            <w:tcW w:w="15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229A815" w14:textId="77777777" w:rsidR="00FB5224" w:rsidRDefault="00000000">
            <w:pPr>
              <w:keepNext/>
              <w:spacing w:line="252" w:lineRule="auto"/>
            </w:pPr>
            <w:r>
              <w:rPr>
                <w:b/>
                <w:bCs/>
                <w:sz w:val="20"/>
                <w:szCs w:val="20"/>
              </w:rPr>
              <w:t>ECM</w:t>
            </w:r>
          </w:p>
        </w:tc>
        <w:tc>
          <w:tcPr>
            <w:tcW w:w="4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321EA66" w14:textId="77777777" w:rsidR="00FB5224" w:rsidRDefault="00000000">
            <w:pPr>
              <w:keepNext/>
              <w:spacing w:line="252" w:lineRule="auto"/>
            </w:pPr>
            <w:r>
              <w:rPr>
                <w:sz w:val="20"/>
                <w:szCs w:val="20"/>
              </w:rPr>
              <w:t>ΔLFCE 0.960486 (p &lt; 0.001); EG_LAG −0.420759 (p = 0.0010)</w:t>
            </w:r>
          </w:p>
        </w:tc>
        <w:tc>
          <w:tcPr>
            <w:tcW w:w="35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72A0A73" w14:textId="77777777" w:rsidR="00FB5224" w:rsidRDefault="00000000">
            <w:pPr>
              <w:keepNext/>
              <w:spacing w:line="252" w:lineRule="auto"/>
            </w:pPr>
            <w:r>
              <w:rPr>
                <w:sz w:val="20"/>
                <w:szCs w:val="20"/>
              </w:rPr>
              <w:t>Strong short-run link; about 42.1% of disequilibrium corrected per year, subject to the model</w:t>
            </w:r>
          </w:p>
        </w:tc>
      </w:tr>
      <w:tr w:rsidR="00FB5224" w14:paraId="18FE4D52" w14:textId="77777777">
        <w:trPr>
          <w:cantSplit/>
        </w:trPr>
        <w:tc>
          <w:tcPr>
            <w:tcW w:w="15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75E0A92" w14:textId="77777777" w:rsidR="00FB5224" w:rsidRDefault="00000000">
            <w:pPr>
              <w:keepNext/>
              <w:spacing w:line="252" w:lineRule="auto"/>
            </w:pPr>
            <w:r>
              <w:rPr>
                <w:b/>
                <w:bCs/>
                <w:sz w:val="20"/>
                <w:szCs w:val="20"/>
              </w:rPr>
              <w:t>VECM</w:t>
            </w:r>
          </w:p>
        </w:tc>
        <w:tc>
          <w:tcPr>
            <w:tcW w:w="4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DC840EF" w14:textId="77777777" w:rsidR="00FB5224" w:rsidRDefault="00000000">
            <w:pPr>
              <w:keepNext/>
              <w:spacing w:line="252" w:lineRule="auto"/>
            </w:pPr>
            <w:r>
              <w:rPr>
                <w:sz w:val="20"/>
                <w:szCs w:val="20"/>
              </w:rPr>
              <w:t>ΔLGDP 0.709148 (t = 1.63067); ΔLFCE 1.155724 (t = 2.65283)</w:t>
            </w:r>
          </w:p>
        </w:tc>
        <w:tc>
          <w:tcPr>
            <w:tcW w:w="35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566FC5A6" w14:textId="77777777" w:rsidR="00FB5224" w:rsidRDefault="00000000">
            <w:pPr>
              <w:keepNext/>
              <w:spacing w:line="252" w:lineRule="auto"/>
            </w:pPr>
            <w:r>
              <w:rPr>
                <w:sz w:val="20"/>
                <w:szCs w:val="20"/>
              </w:rPr>
              <w:t>LFCE responds significantly to disequilibrium; GDP does not at 5%</w:t>
            </w:r>
          </w:p>
        </w:tc>
      </w:tr>
      <w:tr w:rsidR="00FB5224" w14:paraId="0789B06D" w14:textId="77777777">
        <w:trPr>
          <w:cantSplit/>
        </w:trPr>
        <w:tc>
          <w:tcPr>
            <w:tcW w:w="15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6EE8F85C" w14:textId="77777777" w:rsidR="00FB5224" w:rsidRDefault="00000000">
            <w:pPr>
              <w:keepNext/>
              <w:spacing w:line="252" w:lineRule="auto"/>
            </w:pPr>
            <w:r>
              <w:rPr>
                <w:b/>
                <w:bCs/>
                <w:sz w:val="20"/>
                <w:szCs w:val="20"/>
              </w:rPr>
              <w:t>Causality</w:t>
            </w:r>
          </w:p>
        </w:tc>
        <w:tc>
          <w:tcPr>
            <w:tcW w:w="4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7A8CDCC0" w14:textId="77777777" w:rsidR="00FB5224" w:rsidRDefault="00000000">
            <w:pPr>
              <w:keepNext/>
              <w:spacing w:line="252" w:lineRule="auto"/>
            </w:pPr>
            <w:r>
              <w:rPr>
                <w:sz w:val="20"/>
                <w:szCs w:val="20"/>
              </w:rPr>
              <w:t>LFCE → LGDP: p ≈ 0.9535; LGDP → LFCE: p ≈ 0.3931</w:t>
            </w:r>
          </w:p>
        </w:tc>
        <w:tc>
          <w:tcPr>
            <w:tcW w:w="35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8FDB15B" w14:textId="77777777" w:rsidR="00FB5224" w:rsidRDefault="00000000">
            <w:pPr>
              <w:keepNext/>
              <w:spacing w:line="252" w:lineRule="auto"/>
            </w:pPr>
            <w:r>
              <w:rPr>
                <w:sz w:val="20"/>
                <w:szCs w:val="20"/>
              </w:rPr>
              <w:t>No Granger causality in either direction at 5%</w:t>
            </w:r>
          </w:p>
        </w:tc>
      </w:tr>
      <w:tr w:rsidR="00FB5224" w14:paraId="2A2FA404" w14:textId="77777777">
        <w:trPr>
          <w:cantSplit/>
        </w:trPr>
        <w:tc>
          <w:tcPr>
            <w:tcW w:w="15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4841FA32" w14:textId="77777777" w:rsidR="00FB5224" w:rsidRDefault="00000000">
            <w:pPr>
              <w:keepNext/>
              <w:spacing w:line="252" w:lineRule="auto"/>
            </w:pPr>
            <w:r>
              <w:rPr>
                <w:b/>
                <w:bCs/>
                <w:sz w:val="20"/>
                <w:szCs w:val="20"/>
              </w:rPr>
              <w:t>IRF</w:t>
            </w:r>
          </w:p>
        </w:tc>
        <w:tc>
          <w:tcPr>
            <w:tcW w:w="4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26283DA3" w14:textId="77777777" w:rsidR="00FB5224" w:rsidRDefault="00000000">
            <w:pPr>
              <w:keepNext/>
              <w:spacing w:line="252" w:lineRule="auto"/>
            </w:pPr>
            <w:r>
              <w:rPr>
                <w:sz w:val="20"/>
                <w:szCs w:val="20"/>
              </w:rPr>
              <w:t>All reported responses positive over 10 periods; no standard errors</w:t>
            </w:r>
          </w:p>
        </w:tc>
        <w:tc>
          <w:tcPr>
            <w:tcW w:w="35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70D15826" w14:textId="77777777" w:rsidR="00FB5224" w:rsidRDefault="00000000">
            <w:pPr>
              <w:keepNext/>
              <w:spacing w:line="252" w:lineRule="auto"/>
            </w:pPr>
            <w:r>
              <w:rPr>
                <w:sz w:val="20"/>
                <w:szCs w:val="20"/>
              </w:rPr>
              <w:t>Persistent positive dynamics; no significance claims</w:t>
            </w:r>
          </w:p>
        </w:tc>
      </w:tr>
      <w:tr w:rsidR="00FB5224" w14:paraId="20EDF684" w14:textId="77777777">
        <w:trPr>
          <w:cantSplit/>
        </w:trPr>
        <w:tc>
          <w:tcPr>
            <w:tcW w:w="15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0B3EAD3" w14:textId="77777777" w:rsidR="00FB5224" w:rsidRDefault="00000000">
            <w:pPr>
              <w:keepNext/>
              <w:spacing w:line="252" w:lineRule="auto"/>
            </w:pPr>
            <w:r>
              <w:rPr>
                <w:b/>
                <w:bCs/>
                <w:sz w:val="20"/>
                <w:szCs w:val="20"/>
              </w:rPr>
              <w:t>FEVD</w:t>
            </w:r>
          </w:p>
        </w:tc>
        <w:tc>
          <w:tcPr>
            <w:tcW w:w="4000"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11444B11" w14:textId="77777777" w:rsidR="00FB5224" w:rsidRDefault="00000000">
            <w:pPr>
              <w:keepNext/>
              <w:spacing w:line="252" w:lineRule="auto"/>
            </w:pPr>
            <w:r>
              <w:rPr>
                <w:sz w:val="20"/>
                <w:szCs w:val="20"/>
              </w:rPr>
              <w:t>Period 10: LGDP own 89.82%, LFCE 10.18%; LFCE variance: GDP 90.21%, own 9.79%</w:t>
            </w:r>
          </w:p>
        </w:tc>
        <w:tc>
          <w:tcPr>
            <w:tcW w:w="3526" w:type="dxa"/>
            <w:tcBorders>
              <w:top w:val="single" w:sz="4" w:space="0" w:color="BFBFBF"/>
              <w:left w:val="none" w:sz="0" w:space="0" w:color="FFFFFF"/>
              <w:bottom w:val="single" w:sz="4" w:space="0" w:color="BFBFBF"/>
              <w:right w:val="none" w:sz="0" w:space="0" w:color="FFFFFF"/>
            </w:tcBorders>
            <w:tcMar>
              <w:top w:w="70" w:type="dxa"/>
              <w:left w:w="110" w:type="dxa"/>
              <w:bottom w:w="70" w:type="dxa"/>
              <w:right w:w="110" w:type="dxa"/>
            </w:tcMar>
            <w:vAlign w:val="center"/>
          </w:tcPr>
          <w:p w14:paraId="04007750" w14:textId="77777777" w:rsidR="00FB5224" w:rsidRDefault="00000000">
            <w:pPr>
              <w:keepNext/>
              <w:spacing w:line="252" w:lineRule="auto"/>
            </w:pPr>
            <w:r>
              <w:rPr>
                <w:sz w:val="20"/>
                <w:szCs w:val="20"/>
              </w:rPr>
              <w:t>Strong interaction; ordering-dependent, not causal effects</w:t>
            </w:r>
          </w:p>
        </w:tc>
      </w:tr>
      <w:tr w:rsidR="00FB5224" w14:paraId="2D9FEFFC" w14:textId="77777777">
        <w:trPr>
          <w:cantSplit/>
        </w:trPr>
        <w:tc>
          <w:tcPr>
            <w:tcW w:w="15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6416FBDB" w14:textId="77777777" w:rsidR="00FB5224" w:rsidRDefault="00000000">
            <w:pPr>
              <w:spacing w:line="252" w:lineRule="auto"/>
            </w:pPr>
            <w:r>
              <w:rPr>
                <w:b/>
                <w:bCs/>
                <w:sz w:val="20"/>
                <w:szCs w:val="20"/>
              </w:rPr>
              <w:t>Diagnostics</w:t>
            </w:r>
          </w:p>
        </w:tc>
        <w:tc>
          <w:tcPr>
            <w:tcW w:w="4000"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60C8F735" w14:textId="77777777" w:rsidR="00FB5224" w:rsidRDefault="00000000">
            <w:pPr>
              <w:spacing w:line="252" w:lineRule="auto"/>
            </w:pPr>
            <w:r>
              <w:rPr>
                <w:sz w:val="20"/>
                <w:szCs w:val="20"/>
              </w:rPr>
              <w:t>LM p = 0.0081; joint JB p = 0.0000; White joint p = 0.0003</w:t>
            </w:r>
          </w:p>
        </w:tc>
        <w:tc>
          <w:tcPr>
            <w:tcW w:w="3526" w:type="dxa"/>
            <w:tcBorders>
              <w:top w:val="single" w:sz="4" w:space="0" w:color="BFBFBF"/>
              <w:left w:val="none" w:sz="0" w:space="0" w:color="FFFFFF"/>
              <w:bottom w:val="single" w:sz="12" w:space="0" w:color="1F4E79"/>
              <w:right w:val="none" w:sz="0" w:space="0" w:color="FFFFFF"/>
            </w:tcBorders>
            <w:tcMar>
              <w:top w:w="70" w:type="dxa"/>
              <w:left w:w="110" w:type="dxa"/>
              <w:bottom w:w="70" w:type="dxa"/>
              <w:right w:w="110" w:type="dxa"/>
            </w:tcMar>
            <w:vAlign w:val="center"/>
          </w:tcPr>
          <w:p w14:paraId="18C08AF7" w14:textId="77777777" w:rsidR="00FB5224" w:rsidRDefault="00000000">
            <w:pPr>
              <w:spacing w:line="252" w:lineRule="auto"/>
            </w:pPr>
            <w:r>
              <w:rPr>
                <w:sz w:val="20"/>
                <w:szCs w:val="20"/>
              </w:rPr>
              <w:t>Serial correlation, non-normality, heteroskedasticity; interpret with caution</w:t>
            </w:r>
          </w:p>
        </w:tc>
      </w:tr>
    </w:tbl>
    <w:p w14:paraId="6BC6709C" w14:textId="77777777" w:rsidR="00FB5224" w:rsidRDefault="00000000">
      <w:pPr>
        <w:pStyle w:val="Heading1"/>
        <w:keepNext/>
      </w:pPr>
      <w:r>
        <w:t>References</w:t>
      </w:r>
    </w:p>
    <w:p w14:paraId="36DAF740" w14:textId="77777777" w:rsidR="00FB5224" w:rsidRDefault="00000000">
      <w:pPr>
        <w:spacing w:after="110" w:line="276" w:lineRule="auto"/>
        <w:ind w:left="540" w:hanging="540"/>
      </w:pPr>
      <w:r>
        <w:rPr>
          <w:sz w:val="21"/>
          <w:szCs w:val="21"/>
        </w:rPr>
        <w:t>Bank of Israel (1973). Annual Report 1973, Chapter 1: Main Economic Developments. Jerusalem: Bank of Israel. https://boi.org.il/media/ovfpu31v/pe_1.pdf</w:t>
      </w:r>
    </w:p>
    <w:p w14:paraId="094C1F5B" w14:textId="77777777" w:rsidR="00FB5224" w:rsidRDefault="00000000">
      <w:pPr>
        <w:spacing w:after="110" w:line="276" w:lineRule="auto"/>
        <w:ind w:left="540" w:hanging="540"/>
      </w:pPr>
      <w:r>
        <w:rPr>
          <w:sz w:val="21"/>
          <w:szCs w:val="21"/>
        </w:rPr>
        <w:t>Bank of Israel (1974). Annual Report 1974, Chapter 1: Main Economic Developments. Jerusalem: Bank of Israel. https://boi.org.il/boifiles/BankIsraelAnnualReport/Annual%20Report%201974/part%20one/pe1.pdf</w:t>
      </w:r>
    </w:p>
    <w:p w14:paraId="485B9603" w14:textId="77777777" w:rsidR="00FB5224" w:rsidRDefault="00000000">
      <w:pPr>
        <w:spacing w:after="110" w:line="276" w:lineRule="auto"/>
        <w:ind w:left="540" w:hanging="540"/>
      </w:pPr>
      <w:r>
        <w:rPr>
          <w:sz w:val="21"/>
          <w:szCs w:val="21"/>
        </w:rPr>
        <w:t>Bank of Israel (1977). Annual Report 1977, Chapter 1: Main Economic Developments. Jerusalem: Bank of Israel. https://boi.org.il/media/ceynupzc/pe_1.pdf</w:t>
      </w:r>
    </w:p>
    <w:p w14:paraId="7C96D484" w14:textId="77777777" w:rsidR="00FB5224" w:rsidRDefault="00000000">
      <w:pPr>
        <w:spacing w:after="110" w:line="276" w:lineRule="auto"/>
        <w:ind w:left="540" w:hanging="540"/>
      </w:pPr>
      <w:r>
        <w:rPr>
          <w:sz w:val="21"/>
          <w:szCs w:val="21"/>
        </w:rPr>
        <w:t>Bank of Israel (1985). Annual Report 1985, Chapter 1: The Economy: Developments and Policies. Jerusalem: Bank of Israel. https://www.boi.org.il/media/dvspbz5g/pe_1.pdf</w:t>
      </w:r>
    </w:p>
    <w:p w14:paraId="4163CD94" w14:textId="77777777" w:rsidR="00FB5224" w:rsidRDefault="00000000">
      <w:pPr>
        <w:spacing w:after="110" w:line="276" w:lineRule="auto"/>
        <w:ind w:left="540" w:hanging="540"/>
      </w:pPr>
      <w:r>
        <w:rPr>
          <w:sz w:val="21"/>
          <w:szCs w:val="21"/>
        </w:rPr>
        <w:lastRenderedPageBreak/>
        <w:t>Bank of Israel (1990). Annual Report 1990, Chapter 1: The Economy: Developments and Policies. Jerusalem: Bank of Israel. https://boi.org.il/media/ujdnxvfg/pe_1.pdf</w:t>
      </w:r>
    </w:p>
    <w:p w14:paraId="2CD289E6" w14:textId="77777777" w:rsidR="00FB5224" w:rsidRDefault="00000000">
      <w:pPr>
        <w:spacing w:after="110" w:line="276" w:lineRule="auto"/>
        <w:ind w:left="540" w:hanging="540"/>
      </w:pPr>
      <w:r>
        <w:rPr>
          <w:sz w:val="21"/>
          <w:szCs w:val="21"/>
        </w:rPr>
        <w:t>Fischer, S. (2006). The Israeli economy. Bank for International Settlements, central bankers’ speeches. https://www.bis.org/review/r060620c.pdf</w:t>
      </w:r>
    </w:p>
    <w:p w14:paraId="2400FBF2" w14:textId="77777777" w:rsidR="00FB5224" w:rsidRDefault="00000000">
      <w:pPr>
        <w:spacing w:after="110" w:line="276" w:lineRule="auto"/>
        <w:ind w:left="540" w:hanging="540"/>
      </w:pPr>
      <w:r>
        <w:rPr>
          <w:sz w:val="21"/>
          <w:szCs w:val="21"/>
        </w:rPr>
        <w:t>International Monetary Fund (2022). Israel: 2022 Article IV Consultation: Press Release and Staff Report. IMF Country Report. https://imf.org/-/media/Files/Publications/CR/2022/English/1ISREA2022001.ashx</w:t>
      </w:r>
    </w:p>
    <w:p w14:paraId="54CE4004" w14:textId="77777777" w:rsidR="00FB5224" w:rsidRDefault="00000000">
      <w:pPr>
        <w:spacing w:after="110" w:line="276" w:lineRule="auto"/>
        <w:ind w:left="540" w:hanging="540"/>
      </w:pPr>
      <w:r>
        <w:rPr>
          <w:sz w:val="21"/>
          <w:szCs w:val="21"/>
        </w:rPr>
        <w:t>International Monetary Fund (2026a). Israel: Staff Concluding Statement of the 2026 Article IV Mission, 5 February 2026. https://www.imf.org/en/news/articles/2026/02/05/mcs-02052026-israel-staff-concluding-statement-of-the-2026-article-iv-mission</w:t>
      </w:r>
    </w:p>
    <w:p w14:paraId="077AAFC6" w14:textId="77777777" w:rsidR="00FB5224" w:rsidRDefault="00000000">
      <w:pPr>
        <w:spacing w:after="110" w:line="276" w:lineRule="auto"/>
        <w:ind w:left="540" w:hanging="540"/>
      </w:pPr>
      <w:r>
        <w:rPr>
          <w:sz w:val="21"/>
          <w:szCs w:val="21"/>
        </w:rPr>
        <w:t>International Monetary Fund (2026b). IMF Executive Board Concludes 2026 Article IV Consultation with Israel, press release, 1 July 2026. https://imf.org/en/news/articles/2026/07/01/pr26234-israel-imf-executive-board-concludes-2026-article-iv-consultation</w:t>
      </w:r>
    </w:p>
    <w:sectPr w:rsidR="00FB5224">
      <w:headerReference w:type="default" r:id="rId8"/>
      <w:footerReference w:type="default" r:id="rId9"/>
      <w:pgSz w:w="11906" w:h="16838"/>
      <w:pgMar w:top="1300" w:right="1440" w:bottom="12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C5ED7" w14:textId="77777777" w:rsidR="00FB4682" w:rsidRDefault="00FB4682">
      <w:r>
        <w:separator/>
      </w:r>
    </w:p>
  </w:endnote>
  <w:endnote w:type="continuationSeparator" w:id="0">
    <w:p w14:paraId="3EF9B15D" w14:textId="77777777" w:rsidR="00FB4682" w:rsidRDefault="00FB4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3821E" w14:textId="77777777" w:rsidR="00FB5224" w:rsidRDefault="00000000">
    <w:pPr>
      <w:jc w:val="center"/>
    </w:pPr>
    <w:r>
      <w:rPr>
        <w:color w:val="595959"/>
        <w:sz w:val="19"/>
        <w:szCs w:val="19"/>
      </w:rPr>
      <w:fldChar w:fldCharType="begin"/>
    </w:r>
    <w:r>
      <w:rPr>
        <w:color w:val="595959"/>
        <w:sz w:val="19"/>
        <w:szCs w:val="19"/>
      </w:rPr>
      <w:instrText>PAGE</w:instrText>
    </w:r>
    <w:r>
      <w:rPr>
        <w:color w:val="595959"/>
        <w:sz w:val="19"/>
        <w:szCs w:val="19"/>
      </w:rPr>
      <w:fldChar w:fldCharType="separate"/>
    </w:r>
    <w:r w:rsidR="00F6476C">
      <w:rPr>
        <w:noProof/>
        <w:color w:val="595959"/>
        <w:sz w:val="19"/>
        <w:szCs w:val="19"/>
      </w:rPr>
      <w:t>i</w:t>
    </w:r>
    <w:r>
      <w:rPr>
        <w:color w:val="595959"/>
        <w:sz w:val="19"/>
        <w:szCs w:val="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25B0" w14:textId="77777777" w:rsidR="00FB5224" w:rsidRDefault="00000000">
    <w:pPr>
      <w:jc w:val="center"/>
    </w:pPr>
    <w:r>
      <w:rPr>
        <w:color w:val="595959"/>
        <w:sz w:val="19"/>
        <w:szCs w:val="19"/>
      </w:rPr>
      <w:fldChar w:fldCharType="begin"/>
    </w:r>
    <w:r>
      <w:rPr>
        <w:color w:val="595959"/>
        <w:sz w:val="19"/>
        <w:szCs w:val="19"/>
      </w:rPr>
      <w:instrText>PAGE</w:instrText>
    </w:r>
    <w:r>
      <w:rPr>
        <w:color w:val="595959"/>
        <w:sz w:val="19"/>
        <w:szCs w:val="19"/>
      </w:rPr>
      <w:fldChar w:fldCharType="separate"/>
    </w:r>
    <w:r w:rsidR="00F6476C">
      <w:rPr>
        <w:noProof/>
        <w:color w:val="595959"/>
        <w:sz w:val="19"/>
        <w:szCs w:val="19"/>
      </w:rPr>
      <w:t>1</w:t>
    </w:r>
    <w:r>
      <w:rPr>
        <w:color w:val="595959"/>
        <w:sz w:val="19"/>
        <w:szCs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C1C90" w14:textId="77777777" w:rsidR="00FB4682" w:rsidRDefault="00FB4682">
      <w:r>
        <w:separator/>
      </w:r>
    </w:p>
  </w:footnote>
  <w:footnote w:type="continuationSeparator" w:id="0">
    <w:p w14:paraId="6BECD3B5" w14:textId="77777777" w:rsidR="00FB4682" w:rsidRDefault="00FB46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DD1CE" w14:textId="77777777" w:rsidR="00FB5224" w:rsidRDefault="00000000">
    <w:pPr>
      <w:pBdr>
        <w:bottom w:val="single" w:sz="4" w:space="4" w:color="2E75B6"/>
      </w:pBdr>
    </w:pPr>
    <w:r>
      <w:rPr>
        <w:i/>
        <w:iCs/>
        <w:color w:val="595959"/>
        <w:sz w:val="18"/>
        <w:szCs w:val="18"/>
      </w:rPr>
      <w:t>GDP and Final Consumption Expenditure in Israel, 1970–2025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B4B"/>
    <w:multiLevelType w:val="hybridMultilevel"/>
    <w:tmpl w:val="8182CFD4"/>
    <w:lvl w:ilvl="0" w:tplc="A104B3D0">
      <w:start w:val="1"/>
      <w:numFmt w:val="bullet"/>
      <w:lvlText w:val="•"/>
      <w:lvlJc w:val="left"/>
      <w:pPr>
        <w:ind w:left="540" w:hanging="270"/>
      </w:pPr>
    </w:lvl>
    <w:lvl w:ilvl="1" w:tplc="B1AE08A2">
      <w:numFmt w:val="decimal"/>
      <w:lvlText w:val=""/>
      <w:lvlJc w:val="left"/>
    </w:lvl>
    <w:lvl w:ilvl="2" w:tplc="8C60C0A8">
      <w:numFmt w:val="decimal"/>
      <w:lvlText w:val=""/>
      <w:lvlJc w:val="left"/>
    </w:lvl>
    <w:lvl w:ilvl="3" w:tplc="692C320A">
      <w:numFmt w:val="decimal"/>
      <w:lvlText w:val=""/>
      <w:lvlJc w:val="left"/>
    </w:lvl>
    <w:lvl w:ilvl="4" w:tplc="1B16742E">
      <w:numFmt w:val="decimal"/>
      <w:lvlText w:val=""/>
      <w:lvlJc w:val="left"/>
    </w:lvl>
    <w:lvl w:ilvl="5" w:tplc="A378AE02">
      <w:numFmt w:val="decimal"/>
      <w:lvlText w:val=""/>
      <w:lvlJc w:val="left"/>
    </w:lvl>
    <w:lvl w:ilvl="6" w:tplc="02167098">
      <w:numFmt w:val="decimal"/>
      <w:lvlText w:val=""/>
      <w:lvlJc w:val="left"/>
    </w:lvl>
    <w:lvl w:ilvl="7" w:tplc="05723E6A">
      <w:numFmt w:val="decimal"/>
      <w:lvlText w:val=""/>
      <w:lvlJc w:val="left"/>
    </w:lvl>
    <w:lvl w:ilvl="8" w:tplc="DB6EA2F2">
      <w:numFmt w:val="decimal"/>
      <w:lvlText w:val=""/>
      <w:lvlJc w:val="left"/>
    </w:lvl>
  </w:abstractNum>
  <w:abstractNum w:abstractNumId="1" w15:restartNumberingAfterBreak="0">
    <w:nsid w:val="126D1295"/>
    <w:multiLevelType w:val="hybridMultilevel"/>
    <w:tmpl w:val="0066A568"/>
    <w:lvl w:ilvl="0" w:tplc="3A9A7D8A">
      <w:start w:val="1"/>
      <w:numFmt w:val="decimal"/>
      <w:lvlText w:val="%1."/>
      <w:lvlJc w:val="left"/>
      <w:pPr>
        <w:ind w:left="540" w:hanging="340"/>
      </w:pPr>
    </w:lvl>
    <w:lvl w:ilvl="1" w:tplc="BC62AFF0">
      <w:numFmt w:val="decimal"/>
      <w:lvlText w:val=""/>
      <w:lvlJc w:val="left"/>
    </w:lvl>
    <w:lvl w:ilvl="2" w:tplc="0FE65F26">
      <w:numFmt w:val="decimal"/>
      <w:lvlText w:val=""/>
      <w:lvlJc w:val="left"/>
    </w:lvl>
    <w:lvl w:ilvl="3" w:tplc="BC9642B2">
      <w:numFmt w:val="decimal"/>
      <w:lvlText w:val=""/>
      <w:lvlJc w:val="left"/>
    </w:lvl>
    <w:lvl w:ilvl="4" w:tplc="3D06A29A">
      <w:numFmt w:val="decimal"/>
      <w:lvlText w:val=""/>
      <w:lvlJc w:val="left"/>
    </w:lvl>
    <w:lvl w:ilvl="5" w:tplc="5F84D832">
      <w:numFmt w:val="decimal"/>
      <w:lvlText w:val=""/>
      <w:lvlJc w:val="left"/>
    </w:lvl>
    <w:lvl w:ilvl="6" w:tplc="95D6BE16">
      <w:numFmt w:val="decimal"/>
      <w:lvlText w:val=""/>
      <w:lvlJc w:val="left"/>
    </w:lvl>
    <w:lvl w:ilvl="7" w:tplc="DA3CE6C8">
      <w:numFmt w:val="decimal"/>
      <w:lvlText w:val=""/>
      <w:lvlJc w:val="left"/>
    </w:lvl>
    <w:lvl w:ilvl="8" w:tplc="2DD22052">
      <w:numFmt w:val="decimal"/>
      <w:lvlText w:val=""/>
      <w:lvlJc w:val="left"/>
    </w:lvl>
  </w:abstractNum>
  <w:abstractNum w:abstractNumId="2" w15:restartNumberingAfterBreak="0">
    <w:nsid w:val="56B80D6C"/>
    <w:multiLevelType w:val="hybridMultilevel"/>
    <w:tmpl w:val="1A2208D4"/>
    <w:lvl w:ilvl="0" w:tplc="EF760B8E">
      <w:start w:val="1"/>
      <w:numFmt w:val="bullet"/>
      <w:lvlText w:val="●"/>
      <w:lvlJc w:val="left"/>
      <w:pPr>
        <w:ind w:left="720" w:hanging="360"/>
      </w:pPr>
    </w:lvl>
    <w:lvl w:ilvl="1" w:tplc="88F47E6A">
      <w:start w:val="1"/>
      <w:numFmt w:val="bullet"/>
      <w:lvlText w:val="○"/>
      <w:lvlJc w:val="left"/>
      <w:pPr>
        <w:ind w:left="1440" w:hanging="360"/>
      </w:pPr>
    </w:lvl>
    <w:lvl w:ilvl="2" w:tplc="2BEEBCCC">
      <w:start w:val="1"/>
      <w:numFmt w:val="bullet"/>
      <w:lvlText w:val="■"/>
      <w:lvlJc w:val="left"/>
      <w:pPr>
        <w:ind w:left="2160" w:hanging="360"/>
      </w:pPr>
    </w:lvl>
    <w:lvl w:ilvl="3" w:tplc="5252A8F6">
      <w:start w:val="1"/>
      <w:numFmt w:val="bullet"/>
      <w:lvlText w:val="●"/>
      <w:lvlJc w:val="left"/>
      <w:pPr>
        <w:ind w:left="2880" w:hanging="360"/>
      </w:pPr>
    </w:lvl>
    <w:lvl w:ilvl="4" w:tplc="8012A8E8">
      <w:start w:val="1"/>
      <w:numFmt w:val="bullet"/>
      <w:lvlText w:val="○"/>
      <w:lvlJc w:val="left"/>
      <w:pPr>
        <w:ind w:left="3600" w:hanging="360"/>
      </w:pPr>
    </w:lvl>
    <w:lvl w:ilvl="5" w:tplc="3DDEF910">
      <w:start w:val="1"/>
      <w:numFmt w:val="bullet"/>
      <w:lvlText w:val="■"/>
      <w:lvlJc w:val="left"/>
      <w:pPr>
        <w:ind w:left="4320" w:hanging="360"/>
      </w:pPr>
    </w:lvl>
    <w:lvl w:ilvl="6" w:tplc="A7AE3F4C">
      <w:start w:val="1"/>
      <w:numFmt w:val="bullet"/>
      <w:lvlText w:val="●"/>
      <w:lvlJc w:val="left"/>
      <w:pPr>
        <w:ind w:left="5040" w:hanging="360"/>
      </w:pPr>
    </w:lvl>
    <w:lvl w:ilvl="7" w:tplc="9CD4F6B0">
      <w:start w:val="1"/>
      <w:numFmt w:val="bullet"/>
      <w:lvlText w:val="●"/>
      <w:lvlJc w:val="left"/>
      <w:pPr>
        <w:ind w:left="5760" w:hanging="360"/>
      </w:pPr>
    </w:lvl>
    <w:lvl w:ilvl="8" w:tplc="4AD0623C">
      <w:start w:val="1"/>
      <w:numFmt w:val="bullet"/>
      <w:lvlText w:val="●"/>
      <w:lvlJc w:val="left"/>
      <w:pPr>
        <w:ind w:left="6480" w:hanging="360"/>
      </w:pPr>
    </w:lvl>
  </w:abstractNum>
  <w:num w:numId="1" w16cid:durableId="810252032">
    <w:abstractNumId w:val="2"/>
    <w:lvlOverride w:ilvl="0">
      <w:startOverride w:val="1"/>
    </w:lvlOverride>
  </w:num>
  <w:num w:numId="2" w16cid:durableId="1536700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224"/>
    <w:rsid w:val="000853B6"/>
    <w:rsid w:val="0019444A"/>
    <w:rsid w:val="009449A8"/>
    <w:rsid w:val="00BF0442"/>
    <w:rsid w:val="00F6476C"/>
    <w:rsid w:val="00FB4682"/>
    <w:rsid w:val="00FB52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8DF89"/>
  <w15:docId w15:val="{A21A2C2B-0101-486F-B851-5EBE2C073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3" w:color="2E75B6"/>
      </w:pBdr>
      <w:spacing w:before="320" w:after="140"/>
      <w:outlineLvl w:val="0"/>
    </w:pPr>
    <w:rPr>
      <w:b/>
      <w:bCs/>
      <w:color w:val="1F4E79"/>
      <w:sz w:val="30"/>
      <w:szCs w:val="30"/>
    </w:rPr>
  </w:style>
  <w:style w:type="paragraph" w:styleId="Heading2">
    <w:name w:val="heading 2"/>
    <w:uiPriority w:val="9"/>
    <w:unhideWhenUsed/>
    <w:qFormat/>
    <w:pPr>
      <w:spacing w:before="22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4606</Words>
  <Characters>26258</Characters>
  <Application>Microsoft Office Word</Application>
  <DocSecurity>0</DocSecurity>
  <Lines>218</Lines>
  <Paragraphs>61</Paragraphs>
  <ScaleCrop>false</ScaleCrop>
  <Company/>
  <LinksUpToDate>false</LinksUpToDate>
  <CharactersWithSpaces>30803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GDP and FCE in Israel, 1970–2025</dc:title>
  <dc:creator>Report</dc:creator>
  <cp:lastModifiedBy>Chinmayee</cp:lastModifiedBy>
  <cp:revision>3</cp:revision>
  <dcterms:created xsi:type="dcterms:W3CDTF">2026-10-09T05:10:00Z</dcterms:created>
  <dcterms:modified xsi:type="dcterms:W3CDTF">2026-10-22T09:18:00Z</dcterms:modified>
</cp:coreProperties>
</file>