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A2940"/>
          <w:sz w:val="40"/>
          <w:szCs w:val="40"/>
        </w:rPr>
        <w:t xml:space="preserve">Canada’s River Pulse 2025</w:t>
      </w:r>
    </w:p>
    <w:p>
      <w:pPr>
        <w:spacing w:after="60"/>
      </w:pPr>
      <w:r>
        <w:rPr>
          <w:color w:val="7D6A84"/>
          <w:sz w:val="28"/>
          <w:szCs w:val="28"/>
        </w:rPr>
        <w:t xml:space="preserve">Methodology and data sources</w:t>
      </w:r>
    </w:p>
    <w:p>
      <w:pPr>
        <w:pBdr>
          <w:bottom w:val="single" w:color="D8C2D3" w:sz="6" w:space="6"/>
        </w:pBdr>
        <w:spacing w:after="240"/>
      </w:pPr>
      <w:r>
        <w:rPr>
          <w:color w:val="7D6A84"/>
          <w:sz w:val="20"/>
          <w:szCs w:val="20"/>
        </w:rPr>
        <w:t xml:space="preserve">Chinmoy Ghosh Shuvo · September 2026</w:t>
      </w: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20" w:line="276"/>
      </w:pPr>
      <w:r>
        <w:t xml:space="preserve">The animation shows every mapped river in Canada on every day of 2025. Each river is drawn as a wall rising from a tilted map: the wall’s height is that day’s discharge and its colour is the estimated water temperature. A counter adds up the discharge of every river mouth on Canada’s coasts (“discharge to the sea”). The design follows Aaron J. Becker’s “South Asia’s River Pulse”.</w:t>
      </w:r>
    </w:p>
    <w:p>
      <w:pPr>
        <w:pStyle w:val="Heading1"/>
        <w:spacing w:after="120" w:before="240"/>
      </w:pPr>
      <w:r>
        <w:t xml:space="preserve">2. Data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shd w:fill="EF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shd w:fill="EF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Used for</w:t>
            </w:r>
          </w:p>
        </w:tc>
        <w:tc>
          <w:tcPr>
            <w:tcW w:type="dxa" w:w="3726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shd w:fill="EF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HydroRIVERS v1.0 (North America and Arctic regions)</w:t>
            </w:r>
          </w:p>
        </w:tc>
        <w:tc>
          <w:tcPr>
            <w:tcW w:type="dxa" w:w="32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River network, long-term mean discharge (DIS_AV_CMS), downstream links, river mouths</w:t>
            </w:r>
          </w:p>
        </w:tc>
        <w:tc>
          <w:tcPr>
            <w:tcW w:type="dxa" w:w="3726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Lehner &amp; Grill (2013); HydroSHEDS; downloaded as shapefiles from data.hydrosheds.org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geoBoundaries CAN ADM0 (gbOpen, simplified)</w:t>
            </w:r>
          </w:p>
        </w:tc>
        <w:tc>
          <w:tcPr>
            <w:tcW w:type="dxa" w:w="32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Canada outline for clipping rivers and drawing the landmass</w:t>
            </w:r>
          </w:p>
        </w:tc>
        <w:tc>
          <w:tcPr>
            <w:tcW w:type="dxa" w:w="3726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Runfola et al. (2020); geoBoundaries API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GloFAS v4.0 river discharge (0.05°, daily)</w:t>
            </w:r>
          </w:p>
        </w:tc>
        <w:tc>
          <w:tcPr>
            <w:tcW w:type="dxa" w:w="32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Day-to-day behaviour of discharge in 2025</w:t>
            </w:r>
          </w:p>
        </w:tc>
        <w:tc>
          <w:tcPr>
            <w:tcW w:type="dxa" w:w="3726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Copernicus Emergency Management Service; accessed through the Open-Meteo Flood API (Zippenfenig, 2023)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NASA POWER daily 2 m air temperature (T2M, MERRA-2 based)</w:t>
            </w:r>
          </w:p>
        </w:tc>
        <w:tc>
          <w:tcPr>
            <w:tcW w:type="dxa" w:w="32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Estimated water temperature (wall colour)</w:t>
            </w:r>
          </w:p>
        </w:tc>
        <w:tc>
          <w:tcPr>
            <w:tcW w:type="dxa" w:w="3726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NASA Langley Research Center POWER Project; MERRA-2 (Gelaro et al., 2017)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design idea</w:t>
            </w:r>
          </w:p>
        </w:tc>
        <w:tc>
          <w:tcPr>
            <w:tcW w:type="dxa" w:w="3726"/>
            <w:tcBorders>
              <w:top w:val="single" w:color="BFB3C4" w:sz="4"/>
              <w:left w:val="single" w:color="BFB3C4" w:sz="4"/>
              <w:bottom w:val="single" w:color="BFB3C4" w:sz="4"/>
              <w:right w:val="single" w:color="BFB3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Aaron J. Becker, “South Asia’s River Pulse” animation</w:t>
            </w:r>
          </w:p>
        </w:tc>
      </w:tr>
    </w:tbl>
    <w:p>
      <w:pPr>
        <w:pStyle w:val="Heading1"/>
        <w:spacing w:after="120" w:before="240"/>
      </w:pPr>
      <w:r>
        <w:t xml:space="preserve">3. Processing</w:t>
      </w:r>
    </w:p>
    <w:p>
      <w:pPr>
        <w:pStyle w:val="Heading2"/>
        <w:spacing w:after="80" w:before="180"/>
      </w:pPr>
      <w:r>
        <w:t xml:space="preserve">3.1 River network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HydroRIVERS v1.0 reaches from the North America and Arctic regions were kept if the long-term mean discharge (DIS_AV_CMS) was at least 1 m³/s and the reach midpoint fell inside the geoBoundaries outline of Canada.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Reaches downstream of Canadian rivers that the outline cut off (estuaries, deltas and the Great Lakes–St. Lawrence chain) were added back when their river mouth lies within 0.05° of Canada. Total: 173,757 reaches.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River mouths are reaches with NEXT_DOWN = 0 that are not inland sinks (ENDORHEIC = 0) and end within 0.05° of Canada: 3,833 mouths. Rivers that reach the sea through the United States (e.g. Yukon, Columbia, Stikine, Taku) are not counted.</w:t>
      </w:r>
    </w:p>
    <w:p>
      <w:pPr>
        <w:pStyle w:val="Heading2"/>
        <w:spacing w:after="80" w:before="180"/>
      </w:pPr>
      <w:r>
        <w:t xml:space="preserve">3.2 Daily discharge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194 sample reaches were chosen: large river mouths first (≥ 200 m³/s, at least 30 km apart), then all reaches ≥ 30 m³/s in order of size, at least 200 km apart.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Because GloFAS is a 0.05° grid, the nearest cell is often not the river. For each sample, the 3 × 3 neighbouring cells were compared over 1–14 September 2025 and the cell whose mean flow was closest to the HydroRIVERS mean (smallest |ln(Q_cell / DIS_AV_CMS)|) was kept. Samples still more than 3× off were re-screened over a 5 × 5 neighbourhood; those more than 5× off were dropped (17, mostly lakes and deltas), leaving 177.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Daily 2025 GloFAS discharge was downloaded for each sample. Every reach r then took the pattern of one sample s:</w:t>
      </w:r>
    </w:p>
    <w:p>
      <w:pPr>
        <w:spacing w:after="120" w:before="80"/>
        <w:jc w:val="center"/>
      </w:pPr>
      <w:r>
        <w:rPr>
          <w:i/>
          <w:iCs/>
        </w:rPr>
        <w:t xml:space="preserve">Q(r, t) = DIS_AV_CMS(r) × Q_GloFAS(s, t) ÷ mean_2025[Q_GloFAS(s)]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sample used is the first sampled reach downstream (121,710 reaches). If none exists, the largest sample on the same river system (MAIN_RIV) is used (4,131 reaches); otherwise the nearest sample (47,916 reaches).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Discharge to the sea on each day is the sum of Q over the 3,833 river mouths.</w:t>
      </w:r>
    </w:p>
    <w:p>
      <w:pPr>
        <w:pStyle w:val="Heading2"/>
        <w:spacing w:after="80" w:before="180"/>
      </w:pPr>
      <w:r>
        <w:t xml:space="preserve">3.3 Water temperature (estimated)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free daily observed water-temperature product covers Canada, so water temperature was estimated from air temperature.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NASA POWER daily mean 2 m air temperature was downloaded for 658 points on a 2° grid covering Canada’s rivers (25 Dec 2024 – 31 Dec 2025).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Each day uses the 7-day trailing mean, interpolated to every reach by inverse-distance weighting (3 nearest points, power 2), and limited to 0 °C or above because river water under ice does not fall below freezing.</w:t>
      </w:r>
    </w:p>
    <w:p>
      <w:pPr>
        <w:pStyle w:val="Heading2"/>
        <w:spacing w:after="80" w:before="180"/>
      </w:pPr>
      <w:r>
        <w:t xml:space="preserve">3.4 Map and animation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Geometry was projected to NAD83 / Canada Atlas Lambert (EPSG:3978), simplified (400 m tolerance) and compressed vertically by 0.62 to give a tilted 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Each wall is a QGIS geometry-generator polygon: extrude(river line, 0, h), with h = 4,000 × √Q metres. Colour runs from teal (0 °C) to orange-red (24 °C and above); larger rivers are more opaque. Walls are drawn north to south so nearer walls cover farther 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Frames (1080 × 1350 px, one per day) were rendered in QGIS 4.2.2 with PyQGIS; titles, the discharge panel, sparkline and legend were drawn with Qt. The 365 frames were encoded with FFmpeg as H.264 (yuv420p) at 24 frames per second, with a 2-second hold on the last frame.</w:t>
      </w:r>
    </w:p>
    <w:p>
      <w:pPr>
        <w:pStyle w:val="Heading1"/>
        <w:spacing w:after="120" w:before="240"/>
      </w:pPr>
      <w:r>
        <w:t xml:space="preserve">4. Results</w:t>
      </w:r>
    </w:p>
    <w:p>
      <w:pPr>
        <w:spacing w:after="120" w:line="276"/>
      </w:pPr>
      <w:r>
        <w:rPr>
          <w:b/>
          <w:bCs/>
        </w:rPr>
        <w:t xml:space="preserve">Discharge to the sea in 2025: </w:t>
      </w:r>
      <w:r>
        <w:t xml:space="preserve">low of about 39,100 m³/s on 19 February, peak of about 221,100 m³/s on 29 June, a 5.7-fold swing. The 2025 mean is about 91,500 m³/s.</w:t>
      </w:r>
    </w:p>
    <w:p>
      <w:pPr>
        <w:pStyle w:val="Heading1"/>
        <w:spacing w:after="120" w:before="240"/>
      </w:pPr>
      <w:r>
        <w:t xml:space="preserve">5. Limitations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Water temperature is estimated from air temperature, </w:t>
      </w:r>
      <w:r>
        <w:t xml:space="preserve">not measured.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Most rivers’ daily flow is estimated: </w:t>
      </w:r>
      <w:r>
        <w:t xml:space="preserve">only 177 larger rivers are sampled from GloFAS; every other river borrows the daily pattern of a sampled river, scaled to its own long-term mean.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2025 total is tied to long-term means, </w:t>
      </w:r>
      <w:r>
        <w:t xml:space="preserve">so it shows the seasonal rhythm but not whether 2025 was wetter or drier than usual.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Regulated rivers </w:t>
      </w:r>
      <w:r>
        <w:t xml:space="preserve">(e.g. Nelson, La Grande) are only as accurate as GloFAS’s representation of dams and reservoirs.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GloFAS is a model, </w:t>
      </w:r>
      <w:r>
        <w:t xml:space="preserve">not gauge observations.</w:t>
      </w:r>
    </w:p>
    <w:p>
      <w:pPr>
        <w:pStyle w:val="Heading1"/>
        <w:spacing w:after="120" w:before="240"/>
      </w:pPr>
      <w:r>
        <w:t xml:space="preserve">6. References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Copernicus Emergency Management Service. (2019). </w:t>
      </w:r>
      <w:r>
        <w:rPr>
          <w:i/>
          <w:iCs/>
        </w:rPr>
        <w:t xml:space="preserve">River discharge and related historical data from the Global Flood Awareness System</w:t>
      </w:r>
      <w:r>
        <w:rPr>
          <w:sz w:val="20"/>
          <w:szCs w:val="20"/>
        </w:rPr>
        <w:t xml:space="preserve"> (Version 4.0) [Data set]. Copernicus Climate Data Store. https://doi.org/10.24381/cds.a4fdd6b9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Gelaro, R., et al. (2017). The Modern-Era Retrospective Analysis for Research and Applications, Version 2 (MERRA-2). </w:t>
      </w:r>
      <w:r>
        <w:rPr>
          <w:i/>
          <w:iCs/>
        </w:rPr>
        <w:t xml:space="preserve">Journal of Climate, 30</w:t>
      </w:r>
      <w:r>
        <w:rPr>
          <w:sz w:val="20"/>
          <w:szCs w:val="20"/>
        </w:rPr>
        <w:t xml:space="preserve">(14), 5419–5454. https://doi.org/10.1175/JCLI-D-16-0758.1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Harrigan, S., Zsoter, E., Alfieri, L., Prudhomme, C., Salamon, P., Wetterhall, F., Barnard, C., Cloke, H., &amp; Pappenberger, F. (2020). GloFAS-ERA5 operational global river discharge reanalysis 1979–present. </w:t>
      </w:r>
      <w:r>
        <w:rPr>
          <w:i/>
          <w:iCs/>
        </w:rPr>
        <w:t xml:space="preserve">Earth System Science Data, 12</w:t>
      </w:r>
      <w:r>
        <w:rPr>
          <w:sz w:val="20"/>
          <w:szCs w:val="20"/>
        </w:rPr>
        <w:t xml:space="preserve">, 2043–2060. https://doi.org/10.5194/essd-12-2043-2020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Lehner, B., &amp; Grill, G. (2013). Global river hydrography and network routing: baseline data and new approaches to study the world’s large river systems. </w:t>
      </w:r>
      <w:r>
        <w:rPr>
          <w:i/>
          <w:iCs/>
        </w:rPr>
        <w:t xml:space="preserve">Hydrological Processes, 27</w:t>
      </w:r>
      <w:r>
        <w:rPr>
          <w:sz w:val="20"/>
          <w:szCs w:val="20"/>
        </w:rPr>
        <w:t xml:space="preserve">(15), 2171–2186. https://doi.org/10.1002/hyp.9740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NASA Langley Research Center. (2026). </w:t>
      </w:r>
      <w:r>
        <w:rPr>
          <w:i/>
          <w:iCs/>
        </w:rPr>
        <w:t xml:space="preserve">Prediction Of Worldwide Energy Resources (POWER) Project</w:t>
      </w:r>
      <w:r>
        <w:rPr>
          <w:sz w:val="20"/>
          <w:szCs w:val="20"/>
        </w:rPr>
        <w:t xml:space="preserve">, daily T2M, accessed 22 September 2026. https://power.larc.nasa.gov. The data was obtained from the NASA Langley Research Center POWER Project funded through the NASA Earth Science Division.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QGIS Development Team. (2026). </w:t>
      </w:r>
      <w:r>
        <w:rPr>
          <w:i/>
          <w:iCs/>
        </w:rPr>
        <w:t xml:space="preserve">QGIS Geographic Information System</w:t>
      </w:r>
      <w:r>
        <w:rPr>
          <w:sz w:val="20"/>
          <w:szCs w:val="20"/>
        </w:rPr>
        <w:t xml:space="preserve"> (Version 4.2.2). Open Source Geospatial Foundation. https://qgis.org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Runfola, D., et al. (2020). geoBoundaries: A global database of political administrative boundaries. </w:t>
      </w:r>
      <w:r>
        <w:rPr>
          <w:i/>
          <w:iCs/>
        </w:rPr>
        <w:t xml:space="preserve">PLoS ONE, 15</w:t>
      </w:r>
      <w:r>
        <w:rPr>
          <w:sz w:val="20"/>
          <w:szCs w:val="20"/>
        </w:rPr>
        <w:t xml:space="preserve">(4), e0231866. https://doi.org/10.1371/journal.pone.0231866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Zippenfenig, P. (2023). </w:t>
      </w:r>
      <w:r>
        <w:rPr>
          <w:i/>
          <w:iCs/>
        </w:rPr>
        <w:t xml:space="preserve">Open-Meteo.com Weather API</w:t>
      </w:r>
      <w:r>
        <w:rPr>
          <w:sz w:val="20"/>
          <w:szCs w:val="20"/>
        </w:rPr>
        <w:t xml:space="preserve"> [Computer software]. Zenodo. https://doi.org/10.5281/ZENODO.7970649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FFmpeg Developers. (2023). </w:t>
      </w:r>
      <w:r>
        <w:rPr>
          <w:i/>
          <w:iCs/>
        </w:rPr>
        <w:t xml:space="preserve">FFmpeg</w:t>
      </w:r>
      <w:r>
        <w:rPr>
          <w:sz w:val="20"/>
          <w:szCs w:val="20"/>
        </w:rPr>
        <w:t xml:space="preserve"> (Version 6.1.1) [Computer software]. https://ffmpeg.org</w:t>
      </w:r>
    </w:p>
    <w:p>
      <w:pPr>
        <w:spacing w:after="100" w:line="252"/>
        <w:ind w:left="360" w:hanging="360"/>
      </w:pPr>
      <w:r>
        <w:rPr>
          <w:sz w:val="20"/>
          <w:szCs w:val="20"/>
        </w:rPr>
        <w:t xml:space="preserve">Becker, A. J. </w:t>
      </w:r>
      <w:r>
        <w:rPr>
          <w:i/>
          <w:iCs/>
        </w:rPr>
        <w:t xml:space="preserve">South Asia’s River Pulse</w:t>
      </w:r>
      <w:r>
        <w:rPr>
          <w:sz w:val="20"/>
          <w:szCs w:val="20"/>
        </w:rPr>
        <w:t xml:space="preserve"> [Animated map]. Design concept adapted for this work.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D6A84"/>
        <w:sz w:val="16"/>
        <w:szCs w:val="16"/>
      </w:rPr>
      <w:t xml:space="preserve">Canada’s River Pulse 2025 — Methodology · </w:t>
    </w:r>
    <w:r>
      <w:rPr>
        <w:color w:val="7D6A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A294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6F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Canada's River Pulse 2025 - Methodology</dc:title>
  <dc:creator>Chinmoy Ghosh Shuvo</dc:creator>
  <cp:lastModifiedBy>Un-named</cp:lastModifiedBy>
  <cp:revision>1</cp:revision>
  <dcterms:created xsi:type="dcterms:W3CDTF">2026-09-22T11:00:23.401Z</dcterms:created>
  <dcterms:modified xsi:type="dcterms:W3CDTF">2026-09-22T11:00:23.413Z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