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4 — Sprint Plan</w:t>
      </w:r>
    </w:p>
    <w:p>
      <w:pPr>
        <w:pStyle w:val="Heading1"/>
      </w:pPr>
      <w:r>
        <w:t>Workstreams</w:t>
      </w:r>
    </w:p>
    <w:p>
      <w:pPr>
        <w:pStyle w:val="ListBullet"/>
      </w:pPr>
      <w:r>
        <w:t>Day 1: ingestion schema and channel tests.</w:t>
      </w:r>
    </w:p>
    <w:p>
      <w:pPr>
        <w:pStyle w:val="ListBullet"/>
      </w:pPr>
      <w:r>
        <w:t>Day 2: corpus ingestion and retrieval relevance tests.</w:t>
      </w:r>
    </w:p>
    <w:p>
      <w:pPr>
        <w:pStyle w:val="ListBullet"/>
      </w:pPr>
      <w:r>
        <w:t>Day 3: classifier, confidence and deterministic routing.</w:t>
      </w:r>
    </w:p>
    <w:p>
      <w:pPr>
        <w:pStyle w:val="ListBullet"/>
      </w:pPr>
      <w:r>
        <w:t>Day 4: response drafting, blocking guardrails and decision logs.</w:t>
      </w:r>
    </w:p>
    <w:p>
      <w:pPr>
        <w:pStyle w:val="ListBullet"/>
      </w:pPr>
      <w:r>
        <w:t>Day 5: full unattended run, metrics and failure isolation.</w:t>
      </w:r>
    </w:p>
    <w:p>
      <w:pPr>
        <w:pStyle w:val="ListBullet"/>
      </w:pPr>
      <w:r>
        <w:t>Week 3: governance, CI, report, video demonstration and clean-checkout rehearsal.</w:t>
      </w:r>
    </w:p>
    <w:p>
      <w:pPr>
        <w:pStyle w:val="Heading1"/>
      </w:pPr>
      <w:r>
        <w:t>Scope decisions</w:t>
      </w:r>
    </w:p>
    <w:p>
      <w:r>
        <w:t>Keep the end-to-end run and logging as non-negotiable. Prefer a small, transparent local baseline over an untestable external dependency. This baseline does not yet meet production-quality classification or governance thresholds.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