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5 — PRD Revision Log</w:t>
      </w:r>
    </w:p>
    <w:p>
      <w:pPr>
        <w:pStyle w:val="Heading1"/>
      </w:pPr>
      <w:r>
        <w:t>Revision 1 — after local evaluation</w:t>
      </w:r>
    </w:p>
    <w:p>
      <w:r>
        <w:t>Added explicit nearest-neighbour classification using labelled development examples after baseline keyword matching showed label-vocabulary mismatch. This is a material implementation revision, but it does not guarantee strong validation performance.</w:t>
      </w:r>
    </w:p>
    <w:p>
      <w:r>
        <w:t>Added per-ticket failure isolation and a logged escalation fallback.</w:t>
      </w:r>
    </w:p>
    <w:p>
      <w:r>
        <w:t>Clarified that auto-response share is not a causal first-contact-resolution result.</w:t>
      </w:r>
    </w:p>
    <w:p>
      <w:pPr>
        <w:pStyle w:val="Heading1"/>
      </w:pPr>
      <w:r>
        <w:t>Remaining revisions</w:t>
      </w:r>
    </w:p>
    <w:p>
      <w:r>
        <w:t>After reviewing the generated validation metrics, revise thresholds and taxonomy using development data only. Do not tune repeatedly against the validation/hidden set. Add calibrated confidence and more robust PII detection before production.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