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0C9" w:rsidRPr="004A4B42" w:rsidRDefault="00B850C9" w:rsidP="004A4B42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A72900" w:rsidRDefault="00A72900" w:rsidP="004A4B4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A72900" w:rsidRDefault="00A72900" w:rsidP="004A4B4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A72900" w:rsidRDefault="00A72900" w:rsidP="004A4B4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A72900" w:rsidRDefault="00A72900" w:rsidP="004A4B4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A72900" w:rsidRDefault="00A72900" w:rsidP="004A4B4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4A4B42">
        <w:rPr>
          <w:rFonts w:ascii="Times New Roman" w:hAnsi="Times New Roman" w:cs="Times New Roman"/>
          <w:sz w:val="24"/>
        </w:rPr>
        <w:drawing>
          <wp:inline distT="0" distB="0" distL="0" distR="0" wp14:anchorId="69C81CF5" wp14:editId="3D0BD233">
            <wp:extent cx="2781300" cy="752475"/>
            <wp:effectExtent l="0" t="0" r="0" b="9525"/>
            <wp:docPr id="8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900" w:rsidRDefault="00A72900" w:rsidP="004A4B4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A72900" w:rsidRDefault="00A72900" w:rsidP="004A4B4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4A4B42" w:rsidRPr="004A4B42" w:rsidRDefault="004A4B42" w:rsidP="004A4B4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A4B42">
        <w:rPr>
          <w:rFonts w:ascii="Times New Roman" w:hAnsi="Times New Roman" w:cs="Times New Roman"/>
          <w:b/>
          <w:bCs/>
          <w:sz w:val="28"/>
        </w:rPr>
        <w:t>BUS7C4 SUPERVISION SESSION</w:t>
      </w:r>
    </w:p>
    <w:p w:rsidR="004A4B42" w:rsidRPr="004A4B42" w:rsidRDefault="004A4B42" w:rsidP="004A4B4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A4B42">
        <w:rPr>
          <w:rFonts w:ascii="Times New Roman" w:hAnsi="Times New Roman" w:cs="Times New Roman"/>
          <w:b/>
          <w:bCs/>
          <w:sz w:val="28"/>
        </w:rPr>
        <w:t>LECTURE RESULTS/FINDINGS, ANALYSIS AND DISCUSSION </w:t>
      </w:r>
    </w:p>
    <w:p w:rsidR="004A4B42" w:rsidRDefault="004A4B42" w:rsidP="004A4B4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4A4B42">
        <w:rPr>
          <w:rFonts w:ascii="Times New Roman" w:hAnsi="Times New Roman" w:cs="Times New Roman"/>
          <w:b/>
          <w:bCs/>
          <w:sz w:val="28"/>
        </w:rPr>
        <w:t>EXPLORING ORGANISATIONAL APPROACHES TO INTERNATIONAL MARKET ENTRY UNDER THE GLOBAL ECONOMY </w:t>
      </w:r>
    </w:p>
    <w:p w:rsidR="00A72900" w:rsidRDefault="00A72900" w:rsidP="004A4B4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A72900" w:rsidRDefault="00A72900" w:rsidP="004A4B4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A72900" w:rsidRDefault="00A72900" w:rsidP="004A4B4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:rsidR="00A72900" w:rsidRPr="004A4B42" w:rsidRDefault="00A72900" w:rsidP="004A4B4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:rsidR="004A4B42" w:rsidRPr="004A4B42" w:rsidRDefault="004A4B42" w:rsidP="004A4B42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4A4B42">
        <w:rPr>
          <w:rFonts w:ascii="Times New Roman" w:hAnsi="Times New Roman" w:cs="Times New Roman"/>
          <w:b/>
          <w:bCs/>
          <w:sz w:val="24"/>
        </w:rPr>
        <w:t>Student Name: Rama Koteswara Rao Mangineni</w:t>
      </w:r>
    </w:p>
    <w:p w:rsidR="004A4B42" w:rsidRPr="004A4B42" w:rsidRDefault="004A4B42" w:rsidP="004A4B4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4A4B42">
        <w:rPr>
          <w:rFonts w:ascii="Times New Roman" w:hAnsi="Times New Roman" w:cs="Times New Roman"/>
          <w:b/>
          <w:bCs/>
          <w:sz w:val="24"/>
        </w:rPr>
        <w:t>Student ID: S24013995</w:t>
      </w:r>
    </w:p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id w:val="86563604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lang w:val="en-GB"/>
        </w:rPr>
      </w:sdtEndPr>
      <w:sdtContent>
        <w:p w:rsidR="00A72900" w:rsidRPr="00A72900" w:rsidRDefault="00A72900" w:rsidP="00A72900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r w:rsidRPr="00A72900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Table of Contents</w:t>
          </w:r>
        </w:p>
        <w:p w:rsidR="00A72900" w:rsidRPr="00A72900" w:rsidRDefault="00A72900" w:rsidP="00A72900">
          <w:pPr>
            <w:pStyle w:val="TOC1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r w:rsidRPr="00A7290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A7290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A7290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22397639" w:history="1">
            <w:r w:rsidRPr="00A72900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Research focus</w: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_Toc222397639 \h </w:instrTex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A72900" w:rsidRPr="00A72900" w:rsidRDefault="00A72900" w:rsidP="00A72900">
          <w:pPr>
            <w:pStyle w:val="TOC1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22397640" w:history="1">
            <w:r w:rsidRPr="00A72900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Secondary data sources used for data analysis</w: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_Toc222397640 \h </w:instrTex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A72900" w:rsidRPr="00A72900" w:rsidRDefault="00A72900" w:rsidP="00A72900">
          <w:pPr>
            <w:pStyle w:val="TOC1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22397641" w:history="1">
            <w:r w:rsidRPr="00A72900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Key findings (Theme):</w: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_Toc222397641 \h </w:instrTex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A72900" w:rsidRPr="00A72900" w:rsidRDefault="00A72900" w:rsidP="00A72900">
          <w:pPr>
            <w:pStyle w:val="TOC1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22397642" w:history="1">
            <w:r w:rsidRPr="00A72900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Use of NVivo for secondary qualitative data analysis</w: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_Toc222397642 \h </w:instrTex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A72900" w:rsidRPr="00A72900" w:rsidRDefault="00A72900" w:rsidP="00A72900">
          <w:pPr>
            <w:pStyle w:val="TOC1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22397643" w:history="1">
            <w:r w:rsidRPr="00A72900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Analysis and discussion</w: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_Toc222397643 \h </w:instrTex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A72900" w:rsidRPr="00A72900" w:rsidRDefault="00A72900" w:rsidP="00A72900">
          <w:pPr>
            <w:pStyle w:val="TOC1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22397644" w:history="1">
            <w:r w:rsidRPr="00A72900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References</w: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_Toc222397644 \h </w:instrTex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Pr="00A72900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A72900" w:rsidRPr="00A72900" w:rsidRDefault="00A72900" w:rsidP="00A72900">
          <w:pPr>
            <w:spacing w:line="360" w:lineRule="auto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A72900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A72900" w:rsidRPr="00A72900" w:rsidRDefault="00A72900" w:rsidP="00A72900">
      <w:pPr>
        <w:spacing w:line="360" w:lineRule="auto"/>
        <w:jc w:val="both"/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</w:pPr>
      <w:r w:rsidRPr="00A72900"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br w:type="page"/>
      </w:r>
    </w:p>
    <w:p w:rsidR="004A4B42" w:rsidRPr="004A4B42" w:rsidRDefault="004A4B42" w:rsidP="00A72900">
      <w:pPr>
        <w:pStyle w:val="Heading1"/>
      </w:pPr>
      <w:bookmarkStart w:id="0" w:name="_Toc222397639"/>
      <w:r w:rsidRPr="00A72900">
        <w:lastRenderedPageBreak/>
        <w:t>Research</w:t>
      </w:r>
      <w:r w:rsidRPr="004A4B42">
        <w:t xml:space="preserve"> </w:t>
      </w:r>
      <w:r>
        <w:t>focus</w:t>
      </w:r>
      <w:bookmarkEnd w:id="0"/>
    </w:p>
    <w:p w:rsidR="00000000" w:rsidRPr="004A4B42" w:rsidRDefault="00C92636" w:rsidP="004A4B4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A4B42">
        <w:rPr>
          <w:rFonts w:ascii="Times New Roman" w:hAnsi="Times New Roman" w:cs="Times New Roman"/>
          <w:sz w:val="24"/>
        </w:rPr>
        <w:t xml:space="preserve">How do organisations approach international market entry in </w:t>
      </w:r>
      <w:r w:rsidR="004A4B42" w:rsidRPr="004A4B42">
        <w:rPr>
          <w:rFonts w:ascii="Times New Roman" w:hAnsi="Times New Roman" w:cs="Times New Roman"/>
          <w:sz w:val="24"/>
        </w:rPr>
        <w:t xml:space="preserve">the </w:t>
      </w:r>
      <w:r w:rsidRPr="004A4B42">
        <w:rPr>
          <w:rFonts w:ascii="Times New Roman" w:hAnsi="Times New Roman" w:cs="Times New Roman"/>
          <w:sz w:val="24"/>
        </w:rPr>
        <w:t>global economy?</w:t>
      </w:r>
    </w:p>
    <w:p w:rsidR="004A4B42" w:rsidRPr="004A4B42" w:rsidRDefault="004A4B42" w:rsidP="00A72900">
      <w:pPr>
        <w:pStyle w:val="Heading1"/>
      </w:pPr>
      <w:bookmarkStart w:id="1" w:name="_Toc222397640"/>
      <w:r w:rsidRPr="004A4B42">
        <w:t>Secondary data sources used for data analysis</w:t>
      </w:r>
      <w:bookmarkEnd w:id="1"/>
    </w:p>
    <w:p w:rsidR="004A4B42" w:rsidRPr="004A4B42" w:rsidRDefault="00C92636" w:rsidP="0078224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A4B42">
        <w:rPr>
          <w:rFonts w:ascii="Times New Roman" w:hAnsi="Times New Roman" w:cs="Times New Roman"/>
          <w:sz w:val="24"/>
        </w:rPr>
        <w:t>OECD</w:t>
      </w:r>
      <w:r w:rsidR="004A4B42" w:rsidRPr="004A4B42">
        <w:rPr>
          <w:rFonts w:ascii="Times New Roman" w:hAnsi="Times New Roman" w:cs="Times New Roman"/>
          <w:sz w:val="24"/>
        </w:rPr>
        <w:t xml:space="preserve"> </w:t>
      </w:r>
      <w:r w:rsidR="004A4B42" w:rsidRPr="004A4B42">
        <w:rPr>
          <w:rFonts w:ascii="Times New Roman" w:hAnsi="Times New Roman" w:cs="Times New Roman"/>
          <w:sz w:val="24"/>
        </w:rPr>
        <w:t>internationalisation</w:t>
      </w:r>
      <w:r w:rsidRPr="004A4B42">
        <w:rPr>
          <w:rFonts w:ascii="Times New Roman" w:hAnsi="Times New Roman" w:cs="Times New Roman"/>
          <w:sz w:val="24"/>
        </w:rPr>
        <w:t xml:space="preserve"> reports </w:t>
      </w:r>
    </w:p>
    <w:p w:rsidR="00000000" w:rsidRPr="004A4B42" w:rsidRDefault="00C92636" w:rsidP="0078224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A4B42">
        <w:rPr>
          <w:rFonts w:ascii="Times New Roman" w:hAnsi="Times New Roman" w:cs="Times New Roman"/>
          <w:sz w:val="24"/>
        </w:rPr>
        <w:t xml:space="preserve">UNCTAD </w:t>
      </w:r>
      <w:r w:rsidR="004A4B42" w:rsidRPr="004A4B42">
        <w:rPr>
          <w:rFonts w:ascii="Times New Roman" w:hAnsi="Times New Roman" w:cs="Times New Roman"/>
          <w:sz w:val="24"/>
        </w:rPr>
        <w:t>case studies</w:t>
      </w:r>
    </w:p>
    <w:p w:rsidR="00000000" w:rsidRPr="004A4B42" w:rsidRDefault="00C92636" w:rsidP="004A4B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A4B42">
        <w:rPr>
          <w:rFonts w:ascii="Times New Roman" w:hAnsi="Times New Roman" w:cs="Times New Roman"/>
          <w:sz w:val="24"/>
        </w:rPr>
        <w:t xml:space="preserve">World Bank </w:t>
      </w:r>
      <w:r w:rsidRPr="004A4B42">
        <w:rPr>
          <w:rFonts w:ascii="Times New Roman" w:hAnsi="Times New Roman" w:cs="Times New Roman"/>
          <w:sz w:val="24"/>
        </w:rPr>
        <w:t>Trade and Investment Reports</w:t>
      </w:r>
    </w:p>
    <w:p w:rsidR="00000000" w:rsidRDefault="00C92636" w:rsidP="004A4B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A4B42">
        <w:rPr>
          <w:rFonts w:ascii="Times New Roman" w:hAnsi="Times New Roman" w:cs="Times New Roman"/>
          <w:sz w:val="24"/>
        </w:rPr>
        <w:t xml:space="preserve">Peer-reviewed journals </w:t>
      </w:r>
      <w:r w:rsidR="004A4B42" w:rsidRPr="004A4B42">
        <w:rPr>
          <w:rFonts w:ascii="Times New Roman" w:hAnsi="Times New Roman" w:cs="Times New Roman"/>
          <w:sz w:val="24"/>
        </w:rPr>
        <w:t>studies</w:t>
      </w:r>
      <w:r w:rsidR="0017000F">
        <w:rPr>
          <w:rFonts w:ascii="Times New Roman" w:hAnsi="Times New Roman" w:cs="Times New Roman"/>
          <w:sz w:val="24"/>
        </w:rPr>
        <w:t xml:space="preserve"> (</w:t>
      </w:r>
      <w:r w:rsidR="0017000F" w:rsidRPr="0017000F">
        <w:rPr>
          <w:rFonts w:ascii="Times New Roman" w:hAnsi="Times New Roman" w:cs="Times New Roman"/>
          <w:sz w:val="24"/>
        </w:rPr>
        <w:t>Causer</w:t>
      </w:r>
      <w:r w:rsidR="0017000F">
        <w:rPr>
          <w:rFonts w:ascii="Times New Roman" w:hAnsi="Times New Roman" w:cs="Times New Roman"/>
          <w:sz w:val="24"/>
        </w:rPr>
        <w:t xml:space="preserve"> </w:t>
      </w:r>
      <w:r w:rsidR="0017000F">
        <w:rPr>
          <w:rFonts w:ascii="Times New Roman" w:hAnsi="Times New Roman" w:cs="Times New Roman"/>
          <w:i/>
          <w:sz w:val="24"/>
        </w:rPr>
        <w:t>et al</w:t>
      </w:r>
      <w:r w:rsidR="0017000F">
        <w:rPr>
          <w:rFonts w:ascii="Times New Roman" w:hAnsi="Times New Roman" w:cs="Times New Roman"/>
          <w:sz w:val="24"/>
        </w:rPr>
        <w:t>., 2024)</w:t>
      </w:r>
    </w:p>
    <w:p w:rsidR="004A4B42" w:rsidRPr="004A4B42" w:rsidRDefault="004A4B42" w:rsidP="00A72900">
      <w:pPr>
        <w:pStyle w:val="Heading1"/>
      </w:pPr>
      <w:bookmarkStart w:id="2" w:name="_Toc222397641"/>
      <w:r w:rsidRPr="004A4B42">
        <w:t>Key findings (Theme):</w:t>
      </w:r>
      <w:bookmarkEnd w:id="2"/>
      <w:r w:rsidRPr="004A4B42">
        <w:t xml:space="preserve"> </w:t>
      </w:r>
    </w:p>
    <w:p w:rsidR="004A4B42" w:rsidRDefault="00940002" w:rsidP="004A4B4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Global economic conditions influence entry strategy selection</w:t>
      </w:r>
    </w:p>
    <w:p w:rsidR="00940002" w:rsidRDefault="00940002" w:rsidP="004A4B4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Organisational prefer low-risk entry modes under economic uncertainties </w:t>
      </w:r>
      <w:r w:rsidR="0017000F">
        <w:rPr>
          <w:rFonts w:ascii="Times New Roman" w:hAnsi="Times New Roman" w:cs="Times New Roman"/>
          <w:sz w:val="24"/>
        </w:rPr>
        <w:t>(</w:t>
      </w:r>
      <w:r w:rsidR="00C26F42" w:rsidRPr="00C26F42">
        <w:rPr>
          <w:rFonts w:ascii="Times New Roman" w:hAnsi="Times New Roman" w:cs="Times New Roman"/>
          <w:sz w:val="24"/>
        </w:rPr>
        <w:t>Zámborský</w:t>
      </w:r>
      <w:r w:rsidR="00C26F42">
        <w:rPr>
          <w:rFonts w:ascii="Times New Roman" w:hAnsi="Times New Roman" w:cs="Times New Roman"/>
          <w:sz w:val="24"/>
        </w:rPr>
        <w:t xml:space="preserve"> </w:t>
      </w:r>
      <w:r w:rsidR="00C26F42">
        <w:rPr>
          <w:rFonts w:ascii="Times New Roman" w:hAnsi="Times New Roman" w:cs="Times New Roman"/>
          <w:i/>
          <w:sz w:val="24"/>
        </w:rPr>
        <w:t>et al</w:t>
      </w:r>
      <w:r w:rsidR="00C26F42">
        <w:rPr>
          <w:rFonts w:ascii="Times New Roman" w:hAnsi="Times New Roman" w:cs="Times New Roman"/>
          <w:sz w:val="24"/>
        </w:rPr>
        <w:t>., 2022</w:t>
      </w:r>
      <w:r w:rsidR="0017000F">
        <w:rPr>
          <w:rFonts w:ascii="Times New Roman" w:hAnsi="Times New Roman" w:cs="Times New Roman"/>
          <w:sz w:val="24"/>
        </w:rPr>
        <w:t>)</w:t>
      </w:r>
    </w:p>
    <w:p w:rsidR="00940002" w:rsidRDefault="00940002" w:rsidP="004A4B4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Organisational capabilities and resources shapes market entry decisions</w:t>
      </w:r>
    </w:p>
    <w:p w:rsidR="00C26F42" w:rsidRPr="00650762" w:rsidRDefault="00940002" w:rsidP="00C26F4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Regulatory and institutional environments affect strategy choices </w:t>
      </w:r>
      <w:r w:rsidR="0017000F">
        <w:rPr>
          <w:rFonts w:ascii="Times New Roman" w:hAnsi="Times New Roman" w:cs="Times New Roman"/>
          <w:sz w:val="24"/>
        </w:rPr>
        <w:t>(</w:t>
      </w:r>
      <w:r w:rsidR="00650762" w:rsidRPr="00C26F42">
        <w:rPr>
          <w:rFonts w:ascii="Times New Roman" w:hAnsi="Times New Roman" w:cs="Times New Roman"/>
          <w:sz w:val="24"/>
        </w:rPr>
        <w:t>Adesina</w:t>
      </w:r>
      <w:r w:rsidR="00650762">
        <w:rPr>
          <w:rFonts w:ascii="Times New Roman" w:hAnsi="Times New Roman" w:cs="Times New Roman"/>
          <w:sz w:val="24"/>
        </w:rPr>
        <w:t xml:space="preserve"> </w:t>
      </w:r>
      <w:r w:rsidR="00650762">
        <w:rPr>
          <w:rFonts w:ascii="Times New Roman" w:hAnsi="Times New Roman" w:cs="Times New Roman"/>
          <w:i/>
          <w:sz w:val="24"/>
        </w:rPr>
        <w:t>et al</w:t>
      </w:r>
      <w:r w:rsidR="00650762">
        <w:rPr>
          <w:rFonts w:ascii="Times New Roman" w:hAnsi="Times New Roman" w:cs="Times New Roman"/>
          <w:sz w:val="24"/>
        </w:rPr>
        <w:t>., 2024</w:t>
      </w:r>
      <w:r w:rsidR="0017000F">
        <w:rPr>
          <w:rFonts w:ascii="Times New Roman" w:hAnsi="Times New Roman" w:cs="Times New Roman"/>
          <w:sz w:val="24"/>
        </w:rPr>
        <w:t>)</w:t>
      </w:r>
    </w:p>
    <w:p w:rsidR="004A4B42" w:rsidRPr="004A4B42" w:rsidRDefault="004A4B42" w:rsidP="00A72900">
      <w:pPr>
        <w:pStyle w:val="Heading1"/>
      </w:pPr>
      <w:bookmarkStart w:id="3" w:name="_Toc222397642"/>
      <w:r w:rsidRPr="004A4B42">
        <w:t>Use of NVivo for secondary qualitative data analysis</w:t>
      </w:r>
      <w:bookmarkEnd w:id="3"/>
    </w:p>
    <w:p w:rsidR="004A4B42" w:rsidRDefault="004A4B42" w:rsidP="004A4B4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A4B42">
        <w:rPr>
          <w:rFonts w:ascii="Times New Roman" w:hAnsi="Times New Roman" w:cs="Times New Roman"/>
          <w:sz w:val="24"/>
        </w:rPr>
        <w:t>Secondary qualitative data analysed through NVivo 15with inductive thematic coding</w:t>
      </w:r>
    </w:p>
    <w:p w:rsidR="00940002" w:rsidRPr="00940002" w:rsidRDefault="00940002" w:rsidP="00A72900">
      <w:pPr>
        <w:pStyle w:val="Heading1"/>
      </w:pPr>
      <w:bookmarkStart w:id="4" w:name="_Toc222397643"/>
      <w:r w:rsidRPr="00940002">
        <w:t>Analysis and discussion</w:t>
      </w:r>
      <w:bookmarkEnd w:id="4"/>
      <w:r w:rsidRPr="00940002">
        <w:t xml:space="preserve"> </w:t>
      </w:r>
    </w:p>
    <w:p w:rsidR="00940002" w:rsidRDefault="00940002" w:rsidP="0094000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Organisations adjust international market entry strategies in response to different level of global economic stability </w:t>
      </w:r>
      <w:r w:rsidR="0017000F">
        <w:rPr>
          <w:rFonts w:ascii="Times New Roman" w:hAnsi="Times New Roman" w:cs="Times New Roman"/>
          <w:sz w:val="24"/>
        </w:rPr>
        <w:t>(</w:t>
      </w:r>
      <w:r w:rsidR="0057477F" w:rsidRPr="0057477F">
        <w:rPr>
          <w:rFonts w:ascii="Times New Roman" w:hAnsi="Times New Roman" w:cs="Times New Roman"/>
          <w:sz w:val="24"/>
        </w:rPr>
        <w:t>Hasan</w:t>
      </w:r>
      <w:r w:rsidR="0057477F">
        <w:rPr>
          <w:rFonts w:ascii="Times New Roman" w:hAnsi="Times New Roman" w:cs="Times New Roman"/>
          <w:sz w:val="24"/>
        </w:rPr>
        <w:t xml:space="preserve"> </w:t>
      </w:r>
      <w:r w:rsidR="0057477F">
        <w:rPr>
          <w:rFonts w:ascii="Times New Roman" w:hAnsi="Times New Roman" w:cs="Times New Roman"/>
          <w:i/>
          <w:sz w:val="24"/>
        </w:rPr>
        <w:t>et al</w:t>
      </w:r>
      <w:r w:rsidR="0057477F">
        <w:rPr>
          <w:rFonts w:ascii="Times New Roman" w:hAnsi="Times New Roman" w:cs="Times New Roman"/>
          <w:sz w:val="24"/>
        </w:rPr>
        <w:t>., 2024</w:t>
      </w:r>
      <w:r w:rsidR="0017000F">
        <w:rPr>
          <w:rFonts w:ascii="Times New Roman" w:hAnsi="Times New Roman" w:cs="Times New Roman"/>
          <w:sz w:val="24"/>
        </w:rPr>
        <w:t>)</w:t>
      </w:r>
    </w:p>
    <w:p w:rsidR="00940002" w:rsidRDefault="00940002" w:rsidP="0094000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These are through prioritising risk mitigation throughout uncertain environments</w:t>
      </w:r>
    </w:p>
    <w:p w:rsidR="00940002" w:rsidRDefault="00940002" w:rsidP="0094000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Strategic flexibility emerges as a critical capability with enabling firms to make investment commitments and modify entry modes </w:t>
      </w:r>
    </w:p>
    <w:p w:rsidR="00940002" w:rsidRDefault="00940002" w:rsidP="0094000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These are in accordance to </w:t>
      </w:r>
      <w:r w:rsidR="00A72900">
        <w:rPr>
          <w:rFonts w:ascii="Times New Roman" w:hAnsi="Times New Roman" w:cs="Times New Roman"/>
          <w:sz w:val="24"/>
        </w:rPr>
        <w:t>changing economic conditions and market conditions</w:t>
      </w:r>
      <w:r w:rsidR="0017000F">
        <w:rPr>
          <w:rFonts w:ascii="Times New Roman" w:hAnsi="Times New Roman" w:cs="Times New Roman"/>
          <w:sz w:val="24"/>
        </w:rPr>
        <w:t xml:space="preserve"> (</w:t>
      </w:r>
      <w:r w:rsidR="0057477F">
        <w:rPr>
          <w:rFonts w:ascii="Times New Roman" w:hAnsi="Times New Roman" w:cs="Times New Roman"/>
          <w:sz w:val="24"/>
        </w:rPr>
        <w:t xml:space="preserve">Fujimori </w:t>
      </w:r>
      <w:r w:rsidR="0057477F">
        <w:rPr>
          <w:rFonts w:ascii="Times New Roman" w:hAnsi="Times New Roman" w:cs="Times New Roman"/>
          <w:i/>
          <w:sz w:val="24"/>
        </w:rPr>
        <w:t>et al</w:t>
      </w:r>
      <w:r w:rsidR="0057477F">
        <w:rPr>
          <w:rFonts w:ascii="Times New Roman" w:hAnsi="Times New Roman" w:cs="Times New Roman"/>
          <w:sz w:val="24"/>
        </w:rPr>
        <w:t>., 2022</w:t>
      </w:r>
      <w:r w:rsidR="0017000F">
        <w:rPr>
          <w:rFonts w:ascii="Times New Roman" w:hAnsi="Times New Roman" w:cs="Times New Roman"/>
          <w:sz w:val="24"/>
        </w:rPr>
        <w:t>)</w:t>
      </w:r>
    </w:p>
    <w:p w:rsidR="00A72900" w:rsidRDefault="00A72900" w:rsidP="0094000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Regulatory and institutional pressure within host countries encourage organisations in adopting collaborative entry approaches</w:t>
      </w:r>
    </w:p>
    <w:p w:rsidR="00A72900" w:rsidRDefault="00A72900" w:rsidP="0094000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These involves strategic partnership and joint ventures in reducing legitimacy and operational </w:t>
      </w:r>
      <w:r>
        <w:rPr>
          <w:rFonts w:ascii="Times New Roman" w:hAnsi="Times New Roman" w:cs="Times New Roman"/>
          <w:sz w:val="24"/>
        </w:rPr>
        <w:t>risks</w:t>
      </w:r>
      <w:r w:rsidR="0017000F">
        <w:rPr>
          <w:rFonts w:ascii="Times New Roman" w:hAnsi="Times New Roman" w:cs="Times New Roman"/>
          <w:sz w:val="24"/>
        </w:rPr>
        <w:t xml:space="preserve"> (</w:t>
      </w:r>
      <w:r w:rsidR="0057477F" w:rsidRPr="0057477F">
        <w:rPr>
          <w:rFonts w:ascii="Times New Roman" w:hAnsi="Times New Roman" w:cs="Times New Roman"/>
          <w:sz w:val="24"/>
        </w:rPr>
        <w:t>Akinsola</w:t>
      </w:r>
      <w:r w:rsidR="0057477F">
        <w:rPr>
          <w:rFonts w:ascii="Times New Roman" w:hAnsi="Times New Roman" w:cs="Times New Roman"/>
          <w:sz w:val="24"/>
        </w:rPr>
        <w:t xml:space="preserve"> </w:t>
      </w:r>
      <w:r w:rsidR="0057477F">
        <w:rPr>
          <w:rFonts w:ascii="Times New Roman" w:hAnsi="Times New Roman" w:cs="Times New Roman"/>
          <w:i/>
          <w:sz w:val="24"/>
        </w:rPr>
        <w:t>et al</w:t>
      </w:r>
      <w:r w:rsidR="0057477F">
        <w:rPr>
          <w:rFonts w:ascii="Times New Roman" w:hAnsi="Times New Roman" w:cs="Times New Roman"/>
          <w:sz w:val="24"/>
        </w:rPr>
        <w:t>., 2025</w:t>
      </w:r>
      <w:r w:rsidR="0017000F">
        <w:rPr>
          <w:rFonts w:ascii="Times New Roman" w:hAnsi="Times New Roman" w:cs="Times New Roman"/>
          <w:sz w:val="24"/>
        </w:rPr>
        <w:t>)</w:t>
      </w:r>
    </w:p>
    <w:p w:rsidR="00A72900" w:rsidRDefault="00A72900" w:rsidP="0094000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findings reinforce established internationalisation theories (Uppsala internationalisation model)</w:t>
      </w:r>
    </w:p>
    <w:p w:rsidR="00940002" w:rsidRPr="00A72900" w:rsidRDefault="00A72900" w:rsidP="004A4B4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It emphasises gradual market commitments with experimental learning in foreign expansion decisions </w:t>
      </w:r>
      <w:r w:rsidR="0017000F">
        <w:rPr>
          <w:rFonts w:ascii="Times New Roman" w:hAnsi="Times New Roman" w:cs="Times New Roman"/>
          <w:sz w:val="24"/>
        </w:rPr>
        <w:t>(</w:t>
      </w:r>
      <w:r w:rsidR="0057477F">
        <w:rPr>
          <w:rFonts w:ascii="Times New Roman" w:hAnsi="Times New Roman" w:cs="Times New Roman"/>
          <w:sz w:val="24"/>
        </w:rPr>
        <w:t xml:space="preserve">Guercini </w:t>
      </w:r>
      <w:r w:rsidR="0057477F" w:rsidRPr="0057477F">
        <w:rPr>
          <w:rFonts w:ascii="Times New Roman" w:hAnsi="Times New Roman" w:cs="Times New Roman"/>
          <w:sz w:val="24"/>
        </w:rPr>
        <w:t>and Milanesi</w:t>
      </w:r>
      <w:r w:rsidR="0057477F">
        <w:rPr>
          <w:rFonts w:ascii="Times New Roman" w:hAnsi="Times New Roman" w:cs="Times New Roman"/>
          <w:sz w:val="24"/>
        </w:rPr>
        <w:t>, 2022</w:t>
      </w:r>
      <w:r w:rsidR="0017000F">
        <w:rPr>
          <w:rFonts w:ascii="Times New Roman" w:hAnsi="Times New Roman" w:cs="Times New Roman"/>
          <w:sz w:val="24"/>
        </w:rPr>
        <w:t>)</w:t>
      </w:r>
    </w:p>
    <w:p w:rsidR="00A72900" w:rsidRDefault="00A72900">
      <w:pPr>
        <w:rPr>
          <w:rFonts w:ascii="Times New Roman" w:hAnsi="Times New Roman" w:cs="Times New Roman"/>
          <w:b/>
          <w:iCs/>
          <w:sz w:val="24"/>
        </w:rPr>
      </w:pPr>
      <w:r>
        <w:br w:type="page"/>
      </w:r>
    </w:p>
    <w:p w:rsidR="004A4B42" w:rsidRDefault="00A72900" w:rsidP="00A72900">
      <w:pPr>
        <w:pStyle w:val="Heading1"/>
      </w:pPr>
      <w:bookmarkStart w:id="5" w:name="_Toc222397644"/>
      <w:r>
        <w:lastRenderedPageBreak/>
        <w:t>References</w:t>
      </w:r>
      <w:bookmarkEnd w:id="5"/>
    </w:p>
    <w:p w:rsidR="00701FED" w:rsidRDefault="00701FED" w:rsidP="00701FED">
      <w:pPr>
        <w:spacing w:before="240" w:line="360" w:lineRule="auto"/>
        <w:jc w:val="both"/>
        <w:rPr>
          <w:rFonts w:ascii="Times New Roman" w:hAnsi="Times New Roman" w:cs="Times New Roman"/>
          <w:sz w:val="24"/>
        </w:rPr>
      </w:pPr>
      <w:bookmarkStart w:id="6" w:name="_GoBack"/>
      <w:r w:rsidRPr="00C26F42">
        <w:rPr>
          <w:rFonts w:ascii="Times New Roman" w:hAnsi="Times New Roman" w:cs="Times New Roman"/>
          <w:sz w:val="24"/>
        </w:rPr>
        <w:t xml:space="preserve">Adesina, A.A., Iyelolu, T.V. and Paul, P.O., </w:t>
      </w:r>
      <w:r>
        <w:rPr>
          <w:rFonts w:ascii="Times New Roman" w:hAnsi="Times New Roman" w:cs="Times New Roman"/>
          <w:sz w:val="24"/>
        </w:rPr>
        <w:t>(</w:t>
      </w:r>
      <w:r w:rsidRPr="00C26F42">
        <w:rPr>
          <w:rFonts w:ascii="Times New Roman" w:hAnsi="Times New Roman" w:cs="Times New Roman"/>
          <w:sz w:val="24"/>
        </w:rPr>
        <w:t>2024</w:t>
      </w:r>
      <w:r>
        <w:rPr>
          <w:rFonts w:ascii="Times New Roman" w:hAnsi="Times New Roman" w:cs="Times New Roman"/>
          <w:sz w:val="24"/>
        </w:rPr>
        <w:t>)</w:t>
      </w:r>
      <w:r w:rsidRPr="00C26F42">
        <w:rPr>
          <w:rFonts w:ascii="Times New Roman" w:hAnsi="Times New Roman" w:cs="Times New Roman"/>
          <w:sz w:val="24"/>
        </w:rPr>
        <w:t>. Leveraging predictive analytics for strategic decision-making: Enhancing business performance through data-driven insights. World Journal of Advanced Research and Reviews, 22(3), pp.1927-1934.</w:t>
      </w:r>
      <w:r>
        <w:rPr>
          <w:rFonts w:ascii="Times New Roman" w:hAnsi="Times New Roman" w:cs="Times New Roman"/>
          <w:sz w:val="24"/>
        </w:rPr>
        <w:t xml:space="preserve"> </w:t>
      </w:r>
      <w:hyperlink r:id="rId9" w:history="1">
        <w:r w:rsidRPr="0011584B">
          <w:rPr>
            <w:rStyle w:val="Hyperlink"/>
            <w:rFonts w:ascii="Times New Roman" w:hAnsi="Times New Roman" w:cs="Times New Roman"/>
            <w:sz w:val="24"/>
          </w:rPr>
          <w:t>https://pdfs.semanticscholar.org/b76b/ff29715b465db49a3f2f8b30222f2bea02a8.pdf</w:t>
        </w:r>
      </w:hyperlink>
      <w:r>
        <w:rPr>
          <w:rFonts w:ascii="Times New Roman" w:hAnsi="Times New Roman" w:cs="Times New Roman"/>
          <w:sz w:val="24"/>
        </w:rPr>
        <w:t xml:space="preserve"> </w:t>
      </w:r>
    </w:p>
    <w:p w:rsidR="00701FED" w:rsidRPr="0057477F" w:rsidRDefault="00701FED" w:rsidP="00701FED">
      <w:pPr>
        <w:spacing w:before="240" w:line="360" w:lineRule="auto"/>
        <w:jc w:val="both"/>
        <w:rPr>
          <w:rFonts w:ascii="Times New Roman" w:hAnsi="Times New Roman" w:cs="Times New Roman"/>
          <w:sz w:val="24"/>
        </w:rPr>
      </w:pPr>
      <w:r w:rsidRPr="0057477F">
        <w:rPr>
          <w:rFonts w:ascii="Times New Roman" w:hAnsi="Times New Roman" w:cs="Times New Roman"/>
          <w:sz w:val="24"/>
        </w:rPr>
        <w:t xml:space="preserve">Akinsola, O.K., Taofeek, A. and Kingsley Onu, D.Y.O., </w:t>
      </w:r>
      <w:r>
        <w:rPr>
          <w:rFonts w:ascii="Times New Roman" w:hAnsi="Times New Roman" w:cs="Times New Roman"/>
          <w:sz w:val="24"/>
        </w:rPr>
        <w:t>(</w:t>
      </w:r>
      <w:r w:rsidRPr="0057477F">
        <w:rPr>
          <w:rFonts w:ascii="Times New Roman" w:hAnsi="Times New Roman" w:cs="Times New Roman"/>
          <w:sz w:val="24"/>
        </w:rPr>
        <w:t>2025</w:t>
      </w:r>
      <w:r>
        <w:rPr>
          <w:rFonts w:ascii="Times New Roman" w:hAnsi="Times New Roman" w:cs="Times New Roman"/>
          <w:sz w:val="24"/>
        </w:rPr>
        <w:t>)</w:t>
      </w:r>
      <w:r w:rsidRPr="0057477F">
        <w:rPr>
          <w:rFonts w:ascii="Times New Roman" w:hAnsi="Times New Roman" w:cs="Times New Roman"/>
          <w:sz w:val="24"/>
        </w:rPr>
        <w:t>. Legal Challenges and Best Practices for Structuring Corporate Partnerships, Joint Ventures, and Strategic Alliances.</w:t>
      </w:r>
      <w:r>
        <w:rPr>
          <w:rFonts w:ascii="Times New Roman" w:hAnsi="Times New Roman" w:cs="Times New Roman"/>
          <w:sz w:val="24"/>
        </w:rPr>
        <w:t xml:space="preserve"> </w:t>
      </w:r>
      <w:hyperlink r:id="rId10" w:history="1">
        <w:r w:rsidRPr="0011584B">
          <w:rPr>
            <w:rStyle w:val="Hyperlink"/>
            <w:rFonts w:ascii="Times New Roman" w:hAnsi="Times New Roman" w:cs="Times New Roman"/>
            <w:sz w:val="24"/>
          </w:rPr>
          <w:t>https://www.researchgate.net/profile/Bryan-Collins-4/publication/388653168_Legal_Challenges_and_Best_Practices_for_Structuring_Corporate_Partnerships_Joint_Ventures_and_Strategic_Alliances/links/67a1196596e7fb48b9b11d4b/Legal-Challenges-and-Best-Practices-for-Structuring-Corporate-Partnerships-Joint-Ventures-and-Strategic-Alliances.pdf</w:t>
        </w:r>
      </w:hyperlink>
      <w:r>
        <w:rPr>
          <w:rFonts w:ascii="Times New Roman" w:hAnsi="Times New Roman" w:cs="Times New Roman"/>
          <w:sz w:val="24"/>
        </w:rPr>
        <w:t xml:space="preserve"> </w:t>
      </w:r>
    </w:p>
    <w:p w:rsidR="00701FED" w:rsidRDefault="00701FED" w:rsidP="00701FED">
      <w:pPr>
        <w:spacing w:before="240" w:line="360" w:lineRule="auto"/>
        <w:jc w:val="both"/>
        <w:rPr>
          <w:rFonts w:ascii="Times New Roman" w:hAnsi="Times New Roman" w:cs="Times New Roman"/>
          <w:sz w:val="24"/>
        </w:rPr>
      </w:pPr>
      <w:r w:rsidRPr="0017000F">
        <w:rPr>
          <w:rFonts w:ascii="Times New Roman" w:hAnsi="Times New Roman" w:cs="Times New Roman"/>
          <w:sz w:val="24"/>
        </w:rPr>
        <w:t xml:space="preserve">Causer, H., Spiers, J. and Riley, R., </w:t>
      </w:r>
      <w:r>
        <w:rPr>
          <w:rFonts w:ascii="Times New Roman" w:hAnsi="Times New Roman" w:cs="Times New Roman"/>
          <w:sz w:val="24"/>
        </w:rPr>
        <w:t>(</w:t>
      </w:r>
      <w:r w:rsidRPr="0017000F">
        <w:rPr>
          <w:rFonts w:ascii="Times New Roman" w:hAnsi="Times New Roman" w:cs="Times New Roman"/>
          <w:sz w:val="24"/>
        </w:rPr>
        <w:t>2024</w:t>
      </w:r>
      <w:r>
        <w:rPr>
          <w:rFonts w:ascii="Times New Roman" w:hAnsi="Times New Roman" w:cs="Times New Roman"/>
          <w:sz w:val="24"/>
        </w:rPr>
        <w:t>)</w:t>
      </w:r>
      <w:r w:rsidRPr="0017000F">
        <w:rPr>
          <w:rFonts w:ascii="Times New Roman" w:hAnsi="Times New Roman" w:cs="Times New Roman"/>
          <w:sz w:val="24"/>
        </w:rPr>
        <w:t>. A method for synthesizing qualitative data sources in the co-production of postvention guidelines for the NHS: a worked example. International Journal of Qualitative Methods, 23, p.16094069241229985.</w:t>
      </w:r>
      <w:r>
        <w:rPr>
          <w:rFonts w:ascii="Times New Roman" w:hAnsi="Times New Roman" w:cs="Times New Roman"/>
          <w:sz w:val="24"/>
        </w:rPr>
        <w:t xml:space="preserve"> </w:t>
      </w:r>
      <w:hyperlink r:id="rId11" w:history="1">
        <w:r w:rsidRPr="0011584B">
          <w:rPr>
            <w:rStyle w:val="Hyperlink"/>
            <w:rFonts w:ascii="Times New Roman" w:hAnsi="Times New Roman" w:cs="Times New Roman"/>
            <w:sz w:val="24"/>
          </w:rPr>
          <w:t>https://journals.sagepub.com/doi/abs/10.1177/16094069241229985</w:t>
        </w:r>
      </w:hyperlink>
      <w:r>
        <w:rPr>
          <w:rFonts w:ascii="Times New Roman" w:hAnsi="Times New Roman" w:cs="Times New Roman"/>
          <w:sz w:val="24"/>
        </w:rPr>
        <w:t xml:space="preserve"> </w:t>
      </w:r>
    </w:p>
    <w:p w:rsidR="00701FED" w:rsidRDefault="00701FED" w:rsidP="00701FED">
      <w:pPr>
        <w:spacing w:before="240" w:line="360" w:lineRule="auto"/>
        <w:jc w:val="both"/>
        <w:rPr>
          <w:rFonts w:ascii="Times New Roman" w:hAnsi="Times New Roman" w:cs="Times New Roman"/>
          <w:sz w:val="24"/>
        </w:rPr>
      </w:pPr>
      <w:r w:rsidRPr="0057477F">
        <w:rPr>
          <w:rFonts w:ascii="Times New Roman" w:hAnsi="Times New Roman" w:cs="Times New Roman"/>
          <w:sz w:val="24"/>
        </w:rPr>
        <w:t xml:space="preserve">Fujimori, S., Wu, W., Doelman, J., Frank, S., Hristov, J., Kyle, P., Sands, R., Van Zeist, W.J., Havlik, P., Domínguez, I.P. and Sahoo, A., </w:t>
      </w:r>
      <w:r>
        <w:rPr>
          <w:rFonts w:ascii="Times New Roman" w:hAnsi="Times New Roman" w:cs="Times New Roman"/>
          <w:sz w:val="24"/>
        </w:rPr>
        <w:t>(</w:t>
      </w:r>
      <w:r w:rsidRPr="0057477F">
        <w:rPr>
          <w:rFonts w:ascii="Times New Roman" w:hAnsi="Times New Roman" w:cs="Times New Roman"/>
          <w:sz w:val="24"/>
        </w:rPr>
        <w:t>2022</w:t>
      </w:r>
      <w:r>
        <w:rPr>
          <w:rFonts w:ascii="Times New Roman" w:hAnsi="Times New Roman" w:cs="Times New Roman"/>
          <w:sz w:val="24"/>
        </w:rPr>
        <w:t>)</w:t>
      </w:r>
      <w:r w:rsidRPr="0057477F">
        <w:rPr>
          <w:rFonts w:ascii="Times New Roman" w:hAnsi="Times New Roman" w:cs="Times New Roman"/>
          <w:sz w:val="24"/>
        </w:rPr>
        <w:t>. Land-based climate change mitigation measures can affect agricultural markets and food security. Nature Food, 3(2), pp.110-121.</w:t>
      </w:r>
      <w:r>
        <w:rPr>
          <w:rFonts w:ascii="Times New Roman" w:hAnsi="Times New Roman" w:cs="Times New Roman"/>
          <w:sz w:val="24"/>
        </w:rPr>
        <w:t xml:space="preserve"> </w:t>
      </w:r>
      <w:hyperlink r:id="rId12" w:history="1">
        <w:r w:rsidRPr="0011584B">
          <w:rPr>
            <w:rStyle w:val="Hyperlink"/>
            <w:rFonts w:ascii="Times New Roman" w:hAnsi="Times New Roman" w:cs="Times New Roman"/>
            <w:sz w:val="24"/>
          </w:rPr>
          <w:t>https://www.nature.com/articles/s43016-022-00464-4</w:t>
        </w:r>
      </w:hyperlink>
      <w:r>
        <w:rPr>
          <w:rFonts w:ascii="Times New Roman" w:hAnsi="Times New Roman" w:cs="Times New Roman"/>
          <w:sz w:val="24"/>
        </w:rPr>
        <w:t xml:space="preserve"> </w:t>
      </w:r>
    </w:p>
    <w:p w:rsidR="00701FED" w:rsidRDefault="00701FED" w:rsidP="00701FED">
      <w:pPr>
        <w:spacing w:before="240" w:line="360" w:lineRule="auto"/>
        <w:jc w:val="both"/>
        <w:rPr>
          <w:rFonts w:ascii="Times New Roman" w:hAnsi="Times New Roman" w:cs="Times New Roman"/>
          <w:sz w:val="24"/>
        </w:rPr>
      </w:pPr>
      <w:r w:rsidRPr="0057477F">
        <w:rPr>
          <w:rFonts w:ascii="Times New Roman" w:hAnsi="Times New Roman" w:cs="Times New Roman"/>
          <w:sz w:val="24"/>
        </w:rPr>
        <w:t xml:space="preserve">Guercini, S. and Milanesi, M., </w:t>
      </w:r>
      <w:r>
        <w:rPr>
          <w:rFonts w:ascii="Times New Roman" w:hAnsi="Times New Roman" w:cs="Times New Roman"/>
          <w:sz w:val="24"/>
        </w:rPr>
        <w:t>(</w:t>
      </w:r>
      <w:r w:rsidRPr="0057477F">
        <w:rPr>
          <w:rFonts w:ascii="Times New Roman" w:hAnsi="Times New Roman" w:cs="Times New Roman"/>
          <w:sz w:val="24"/>
        </w:rPr>
        <w:t>2022</w:t>
      </w:r>
      <w:r>
        <w:rPr>
          <w:rFonts w:ascii="Times New Roman" w:hAnsi="Times New Roman" w:cs="Times New Roman"/>
          <w:sz w:val="24"/>
        </w:rPr>
        <w:t>)</w:t>
      </w:r>
      <w:r w:rsidRPr="0057477F">
        <w:rPr>
          <w:rFonts w:ascii="Times New Roman" w:hAnsi="Times New Roman" w:cs="Times New Roman"/>
          <w:sz w:val="24"/>
        </w:rPr>
        <w:t>. Foreign market entry decision-making and heuristics: a mapping of the literature and future avenues. Management Research Review, 45(9), pp.1229-1246.</w:t>
      </w:r>
      <w:r>
        <w:rPr>
          <w:rFonts w:ascii="Times New Roman" w:hAnsi="Times New Roman" w:cs="Times New Roman"/>
          <w:sz w:val="24"/>
        </w:rPr>
        <w:t xml:space="preserve"> </w:t>
      </w:r>
      <w:hyperlink r:id="rId13" w:history="1">
        <w:r w:rsidRPr="0011584B">
          <w:rPr>
            <w:rStyle w:val="Hyperlink"/>
            <w:rFonts w:ascii="Times New Roman" w:hAnsi="Times New Roman" w:cs="Times New Roman"/>
            <w:sz w:val="24"/>
          </w:rPr>
          <w:t>https://www.emerald.com/mrr/article/45/9/1229/305647</w:t>
        </w:r>
      </w:hyperlink>
      <w:r>
        <w:rPr>
          <w:rFonts w:ascii="Times New Roman" w:hAnsi="Times New Roman" w:cs="Times New Roman"/>
          <w:sz w:val="24"/>
        </w:rPr>
        <w:t xml:space="preserve"> </w:t>
      </w:r>
    </w:p>
    <w:p w:rsidR="00701FED" w:rsidRDefault="00701FED" w:rsidP="00701FED">
      <w:pPr>
        <w:spacing w:before="240" w:line="360" w:lineRule="auto"/>
        <w:jc w:val="both"/>
        <w:rPr>
          <w:rFonts w:ascii="Times New Roman" w:hAnsi="Times New Roman" w:cs="Times New Roman"/>
          <w:sz w:val="24"/>
        </w:rPr>
      </w:pPr>
      <w:r w:rsidRPr="0057477F">
        <w:rPr>
          <w:rFonts w:ascii="Times New Roman" w:hAnsi="Times New Roman" w:cs="Times New Roman"/>
          <w:sz w:val="24"/>
        </w:rPr>
        <w:t xml:space="preserve">Hasan, M.M., Rayhan, Z., Mukta, R.T. and Faruq, O., </w:t>
      </w:r>
      <w:r>
        <w:rPr>
          <w:rFonts w:ascii="Times New Roman" w:hAnsi="Times New Roman" w:cs="Times New Roman"/>
          <w:sz w:val="24"/>
        </w:rPr>
        <w:t>(</w:t>
      </w:r>
      <w:r w:rsidRPr="0057477F">
        <w:rPr>
          <w:rFonts w:ascii="Times New Roman" w:hAnsi="Times New Roman" w:cs="Times New Roman"/>
          <w:sz w:val="24"/>
        </w:rPr>
        <w:t>2024</w:t>
      </w:r>
      <w:r>
        <w:rPr>
          <w:rFonts w:ascii="Times New Roman" w:hAnsi="Times New Roman" w:cs="Times New Roman"/>
          <w:sz w:val="24"/>
        </w:rPr>
        <w:t>)</w:t>
      </w:r>
      <w:r w:rsidRPr="0057477F">
        <w:rPr>
          <w:rFonts w:ascii="Times New Roman" w:hAnsi="Times New Roman" w:cs="Times New Roman"/>
          <w:sz w:val="24"/>
        </w:rPr>
        <w:t>. Research on adapting marketing techniques to different culture economics and regulatory environment to entering new international markets. Информатика. Экономика. Управление/Informatics. Economics. Management, 3(4), pp.0257-0277.</w:t>
      </w:r>
      <w:r>
        <w:rPr>
          <w:rFonts w:ascii="Times New Roman" w:hAnsi="Times New Roman" w:cs="Times New Roman"/>
          <w:sz w:val="24"/>
        </w:rPr>
        <w:t xml:space="preserve"> </w:t>
      </w:r>
      <w:hyperlink r:id="rId14" w:history="1">
        <w:r w:rsidRPr="0011584B">
          <w:rPr>
            <w:rStyle w:val="Hyperlink"/>
            <w:rFonts w:ascii="Times New Roman" w:hAnsi="Times New Roman" w:cs="Times New Roman"/>
            <w:sz w:val="24"/>
          </w:rPr>
          <w:t>https://cyberleninka.ru/article/n/research-on-adapting-marketing-techniques-to-different-culture-economics-and-regulatory-environment-to-entering-new-international</w:t>
        </w:r>
      </w:hyperlink>
      <w:r>
        <w:rPr>
          <w:rFonts w:ascii="Times New Roman" w:hAnsi="Times New Roman" w:cs="Times New Roman"/>
          <w:sz w:val="24"/>
        </w:rPr>
        <w:t xml:space="preserve"> </w:t>
      </w:r>
    </w:p>
    <w:p w:rsidR="00701FED" w:rsidRDefault="00701FED" w:rsidP="00701FED">
      <w:pPr>
        <w:spacing w:before="240" w:line="360" w:lineRule="auto"/>
        <w:jc w:val="both"/>
        <w:rPr>
          <w:rFonts w:ascii="Times New Roman" w:hAnsi="Times New Roman" w:cs="Times New Roman"/>
          <w:sz w:val="24"/>
        </w:rPr>
      </w:pPr>
      <w:r w:rsidRPr="00C26F42">
        <w:rPr>
          <w:rFonts w:ascii="Times New Roman" w:hAnsi="Times New Roman" w:cs="Times New Roman"/>
          <w:sz w:val="24"/>
        </w:rPr>
        <w:lastRenderedPageBreak/>
        <w:t xml:space="preserve">Zámborský, P., Sullivan-Taylor, B., Tisch, D. and Branicki, L., </w:t>
      </w:r>
      <w:r>
        <w:rPr>
          <w:rFonts w:ascii="Times New Roman" w:hAnsi="Times New Roman" w:cs="Times New Roman"/>
          <w:sz w:val="24"/>
        </w:rPr>
        <w:t>(</w:t>
      </w:r>
      <w:r w:rsidRPr="00C26F42">
        <w:rPr>
          <w:rFonts w:ascii="Times New Roman" w:hAnsi="Times New Roman" w:cs="Times New Roman"/>
          <w:sz w:val="24"/>
        </w:rPr>
        <w:t>2022</w:t>
      </w:r>
      <w:r>
        <w:rPr>
          <w:rFonts w:ascii="Times New Roman" w:hAnsi="Times New Roman" w:cs="Times New Roman"/>
          <w:sz w:val="24"/>
        </w:rPr>
        <w:t>)</w:t>
      </w:r>
      <w:r w:rsidRPr="00C26F42">
        <w:rPr>
          <w:rFonts w:ascii="Times New Roman" w:hAnsi="Times New Roman" w:cs="Times New Roman"/>
          <w:sz w:val="24"/>
        </w:rPr>
        <w:t>. Antecedents of risk and uncertainty management capabilities: Insights from multinational enterprises in New Zealand. Journal of Management &amp; Organization, 28(3), pp.632-658.</w:t>
      </w:r>
      <w:r>
        <w:rPr>
          <w:rFonts w:ascii="Times New Roman" w:hAnsi="Times New Roman" w:cs="Times New Roman"/>
          <w:sz w:val="24"/>
        </w:rPr>
        <w:t xml:space="preserve"> </w:t>
      </w:r>
      <w:hyperlink r:id="rId15" w:history="1">
        <w:r w:rsidRPr="0011584B">
          <w:rPr>
            <w:rStyle w:val="Hyperlink"/>
            <w:rFonts w:ascii="Times New Roman" w:hAnsi="Times New Roman" w:cs="Times New Roman"/>
            <w:sz w:val="24"/>
          </w:rPr>
          <w:t>https://www.cambridge.org/core/journals/journal-of-management-and-organization/article/antecedents-of-risk-and-uncertainty-management-capabilities-insights-from-multinational-enterprises-in-new-zealand/3099A5E049024F0CECB20DDFA397B916</w:t>
        </w:r>
      </w:hyperlink>
      <w:r>
        <w:rPr>
          <w:rFonts w:ascii="Times New Roman" w:hAnsi="Times New Roman" w:cs="Times New Roman"/>
          <w:sz w:val="24"/>
        </w:rPr>
        <w:t xml:space="preserve"> </w:t>
      </w:r>
    </w:p>
    <w:bookmarkEnd w:id="6"/>
    <w:p w:rsidR="004A4B42" w:rsidRPr="004A4B42" w:rsidRDefault="004A4B42" w:rsidP="004A4B42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4A4B42" w:rsidRPr="004A4B42" w:rsidRDefault="004A4B42" w:rsidP="004A4B42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sectPr w:rsidR="004A4B42" w:rsidRPr="004A4B42" w:rsidSect="00A72900"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636" w:rsidRDefault="00C92636" w:rsidP="00A72900">
      <w:pPr>
        <w:spacing w:after="0" w:line="240" w:lineRule="auto"/>
      </w:pPr>
      <w:r>
        <w:separator/>
      </w:r>
    </w:p>
  </w:endnote>
  <w:endnote w:type="continuationSeparator" w:id="0">
    <w:p w:rsidR="00C92636" w:rsidRDefault="00C92636" w:rsidP="00A72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55185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2900" w:rsidRDefault="00A729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01FED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72900" w:rsidRDefault="00A729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60832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0445" w:rsidRDefault="0017044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01FE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70445" w:rsidRDefault="001704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636" w:rsidRDefault="00C92636" w:rsidP="00A72900">
      <w:pPr>
        <w:spacing w:after="0" w:line="240" w:lineRule="auto"/>
      </w:pPr>
      <w:r>
        <w:separator/>
      </w:r>
    </w:p>
  </w:footnote>
  <w:footnote w:type="continuationSeparator" w:id="0">
    <w:p w:rsidR="00C92636" w:rsidRDefault="00C92636" w:rsidP="00A729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300F7"/>
    <w:multiLevelType w:val="multilevel"/>
    <w:tmpl w:val="44AE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8507E"/>
    <w:multiLevelType w:val="hybridMultilevel"/>
    <w:tmpl w:val="6E3C8F92"/>
    <w:lvl w:ilvl="0" w:tplc="4B4C28C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A844B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48216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9AA32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90DE7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343C9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286CD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ECC1A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CCC0A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CE47DCD"/>
    <w:multiLevelType w:val="hybridMultilevel"/>
    <w:tmpl w:val="C9766BB4"/>
    <w:lvl w:ilvl="0" w:tplc="49F0E3F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A0463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3EE49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4E19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C023F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1EF77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AA8A1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1EB4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EC9E7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2721D81"/>
    <w:multiLevelType w:val="multilevel"/>
    <w:tmpl w:val="191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713D1"/>
    <w:multiLevelType w:val="hybridMultilevel"/>
    <w:tmpl w:val="E4321610"/>
    <w:lvl w:ilvl="0" w:tplc="CBA2967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8A8B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AC74C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0AFF3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5A566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28044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84316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843BB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94630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0EB5F5B"/>
    <w:multiLevelType w:val="hybridMultilevel"/>
    <w:tmpl w:val="025A95B0"/>
    <w:lvl w:ilvl="0" w:tplc="2B8C26D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D0FDF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DA0DD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44607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74EA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881B1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A2083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A2F1A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9282A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25C0276"/>
    <w:multiLevelType w:val="hybridMultilevel"/>
    <w:tmpl w:val="43C43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466395"/>
    <w:multiLevelType w:val="hybridMultilevel"/>
    <w:tmpl w:val="392CC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50509"/>
    <w:multiLevelType w:val="hybridMultilevel"/>
    <w:tmpl w:val="B442D708"/>
    <w:lvl w:ilvl="0" w:tplc="FF7E134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C44D7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44250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14059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CAE55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70BB3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D6790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0EA4B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E82BD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B245CF5"/>
    <w:multiLevelType w:val="hybridMultilevel"/>
    <w:tmpl w:val="C6205EA2"/>
    <w:lvl w:ilvl="0" w:tplc="F29A916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D40B7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1E6AC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18CA5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6EB75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A4D61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3A244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8A143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C6B48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D101C77"/>
    <w:multiLevelType w:val="multilevel"/>
    <w:tmpl w:val="8658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 w:numId="8">
    <w:abstractNumId w:val="3"/>
  </w:num>
  <w:num w:numId="9">
    <w:abstractNumId w:val="0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B42"/>
    <w:rsid w:val="0017000F"/>
    <w:rsid w:val="00170445"/>
    <w:rsid w:val="004A4B42"/>
    <w:rsid w:val="0057477F"/>
    <w:rsid w:val="00650762"/>
    <w:rsid w:val="00701FED"/>
    <w:rsid w:val="00940002"/>
    <w:rsid w:val="00A72900"/>
    <w:rsid w:val="00B850C9"/>
    <w:rsid w:val="00C26F42"/>
    <w:rsid w:val="00C9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AD58"/>
  <w15:chartTrackingRefBased/>
  <w15:docId w15:val="{7A204F69-8808-4AC0-9CDF-DE1B9223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900"/>
    <w:pPr>
      <w:spacing w:line="360" w:lineRule="auto"/>
      <w:jc w:val="both"/>
      <w:outlineLvl w:val="0"/>
    </w:pPr>
    <w:rPr>
      <w:rFonts w:ascii="Times New Roman" w:hAnsi="Times New Roman" w:cs="Times New Roman"/>
      <w:b/>
      <w:iCs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0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A4B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B4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A4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A4B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A4B4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00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A72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90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72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900"/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A72900"/>
    <w:rPr>
      <w:rFonts w:ascii="Times New Roman" w:hAnsi="Times New Roman" w:cs="Times New Roman"/>
      <w:b/>
      <w:iCs/>
      <w:sz w:val="24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A72900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i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7290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729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47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857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9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28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92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52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03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4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07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6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10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5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11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66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66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54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16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264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89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emerald.com/mrr/article/45/9/1229/305647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ature.com/articles/s43016-022-00464-4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ournals.sagepub.com/doi/abs/10.1177/1609406924122998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ambridge.org/core/journals/journal-of-management-and-organization/article/antecedents-of-risk-and-uncertainty-management-capabilities-insights-from-multinational-enterprises-in-new-zealand/3099A5E049024F0CECB20DDFA397B916" TargetMode="External"/><Relationship Id="rId10" Type="http://schemas.openxmlformats.org/officeDocument/2006/relationships/hyperlink" Target="https://www.researchgate.net/profile/Bryan-Collins-4/publication/388653168_Legal_Challenges_and_Best_Practices_for_Structuring_Corporate_Partnerships_Joint_Ventures_and_Strategic_Alliances/links/67a1196596e7fb48b9b11d4b/Legal-Challenges-and-Best-Practices-for-Structuring-Corporate-Partnerships-Joint-Ventures-and-Strategic-Alliances.pd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dfs.semanticscholar.org/b76b/ff29715b465db49a3f2f8b30222f2bea02a8.pdf" TargetMode="External"/><Relationship Id="rId14" Type="http://schemas.openxmlformats.org/officeDocument/2006/relationships/hyperlink" Target="https://cyberleninka.ru/article/n/research-on-adapting-marketing-techniques-to-different-culture-economics-and-regulatory-environment-to-entering-new-internati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5488D3-E72C-4C8C-B61E-9A94B3895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950</Words>
  <Characters>5415</Characters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2026-02-19T06:48:00Z</dcterms:created>
  <dcterms:modified xsi:type="dcterms:W3CDTF">2026-02-19T07:26:00Z</dcterms:modified>
</cp:coreProperties>
</file>