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r>
        <w:rPr>
          <w:rFonts w:ascii="宋体"/>
          <w:b/>
          <w:sz w:val="4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-198120</wp:posOffset>
                </wp:positionV>
                <wp:extent cx="2857500" cy="396240"/>
                <wp:effectExtent l="0" t="1905" r="0" b="1905"/>
                <wp:wrapSquare wrapText="bothSides"/>
                <wp:docPr id="52"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wps:spPr>
                      <wps:txbx>
                        <w:txbxContent>
                          <w:p>
                            <w:pPr>
                              <w:rPr>
                                <w:u w:val="single"/>
                              </w:rPr>
                            </w:pPr>
                            <w:r>
                              <w:rPr>
                                <w:rFonts w:hint="eastAsia"/>
                              </w:rPr>
                              <w:t>课程编号</w:t>
                            </w:r>
                            <w:r>
                              <w:rPr>
                                <w:rFonts w:hint="eastAsia"/>
                                <w:u w:val="single"/>
                              </w:rPr>
                              <w:t xml:space="preserve">     </w:t>
                            </w:r>
                            <w:r>
                              <w:rPr>
                                <w:u w:val="single"/>
                              </w:rPr>
                              <w:t>1800440091</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17" o:spid="_x0000_s1026" o:spt="202" type="#_x0000_t202" style="position:absolute;left:0pt;margin-left:9pt;margin-top:-15.6pt;height:31.2pt;width:225pt;mso-wrap-distance-bottom:0pt;mso-wrap-distance-left:9pt;mso-wrap-distance-right:9pt;mso-wrap-distance-top:0pt;z-index:251659264;mso-width-relative:page;mso-height-relative:page;" fillcolor="#FFFFFF" filled="t" stroked="f" coordsize="21600,21600" o:gfxdata="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cf6ItUAAAAJAQAA&#10;DwAAAAAAAAABACAAAAAiAAAAZHJzL2Rvd25yZXYueG1sUEsBAhQAFAAAAAgAh07iQEWARKccAgAA&#10;PwQAAA4AAAAAAAAAAQAgAAAAJAEAAGRycy9lMm9Eb2MueG1sUEsFBgAAAAAGAAYAWQEAALIFAAAA&#10;AA==&#10;">
                <v:fill on="t" focussize="0,0"/>
                <v:stroke on="f"/>
                <v:imagedata o:title=""/>
                <o:lock v:ext="edit" aspectratio="f"/>
                <v:textbox>
                  <w:txbxContent>
                    <w:p>
                      <w:pPr>
                        <w:rPr>
                          <w:u w:val="single"/>
                        </w:rPr>
                      </w:pPr>
                      <w:r>
                        <w:rPr>
                          <w:rFonts w:hint="eastAsia"/>
                        </w:rPr>
                        <w:t>课程编号</w:t>
                      </w:r>
                      <w:r>
                        <w:rPr>
                          <w:rFonts w:hint="eastAsia"/>
                          <w:u w:val="single"/>
                        </w:rPr>
                        <w:t xml:space="preserve">     </w:t>
                      </w:r>
                      <w:r>
                        <w:rPr>
                          <w:u w:val="single"/>
                        </w:rPr>
                        <w:t>1800440091</w:t>
                      </w:r>
                      <w:r>
                        <w:rPr>
                          <w:rFonts w:hint="eastAsia"/>
                          <w:u w:val="single"/>
                        </w:rPr>
                        <w:t xml:space="preserve">      </w:t>
                      </w:r>
                    </w:p>
                  </w:txbxContent>
                </v:textbox>
                <w10:wrap type="square"/>
              </v:shape>
            </w:pict>
          </mc:Fallback>
        </mc:AlternateContent>
      </w:r>
    </w:p>
    <w:tbl>
      <w:tblPr>
        <w:tblStyle w:val="10"/>
        <w:tblpPr w:leftFromText="180" w:rightFromText="180" w:vertAnchor="text" w:horzAnchor="margin" w:tblpXSpec="right" w:tblpY="-10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188"/>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tcPr>
          <w:p>
            <w:pPr>
              <w:jc w:val="center"/>
              <w:rPr>
                <w:rFonts w:ascii="宋体"/>
                <w:b/>
                <w:szCs w:val="21"/>
              </w:rPr>
            </w:pPr>
            <w:r>
              <w:rPr>
                <w:rFonts w:hint="eastAsia" w:ascii="宋体"/>
                <w:b/>
                <w:szCs w:val="21"/>
              </w:rPr>
              <w:t>得分</w:t>
            </w:r>
          </w:p>
        </w:tc>
        <w:tc>
          <w:tcPr>
            <w:tcW w:w="1188" w:type="dxa"/>
            <w:shd w:val="clear" w:color="auto" w:fill="auto"/>
          </w:tcPr>
          <w:p>
            <w:pPr>
              <w:jc w:val="center"/>
              <w:rPr>
                <w:rFonts w:ascii="宋体"/>
                <w:b/>
                <w:szCs w:val="21"/>
              </w:rPr>
            </w:pPr>
            <w:r>
              <w:rPr>
                <w:rFonts w:hint="eastAsia" w:ascii="宋体"/>
                <w:b/>
                <w:szCs w:val="21"/>
              </w:rPr>
              <w:t>教师签名</w:t>
            </w:r>
          </w:p>
        </w:tc>
        <w:tc>
          <w:tcPr>
            <w:tcW w:w="1260" w:type="dxa"/>
            <w:shd w:val="clear" w:color="auto" w:fill="auto"/>
          </w:tcPr>
          <w:p>
            <w:pPr>
              <w:jc w:val="center"/>
              <w:rPr>
                <w:rFonts w:ascii="宋体"/>
                <w:b/>
                <w:szCs w:val="21"/>
              </w:rPr>
            </w:pPr>
            <w:r>
              <w:rPr>
                <w:rFonts w:hint="eastAsia" w:ascii="宋体"/>
                <w:b/>
                <w:szCs w:val="21"/>
              </w:rPr>
              <w:t>批改日期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900" w:type="dxa"/>
            <w:shd w:val="clear" w:color="auto" w:fill="auto"/>
          </w:tcPr>
          <w:p>
            <w:pPr>
              <w:jc w:val="center"/>
              <w:rPr>
                <w:rFonts w:ascii="宋体"/>
                <w:b/>
                <w:sz w:val="44"/>
              </w:rPr>
            </w:pPr>
          </w:p>
        </w:tc>
        <w:tc>
          <w:tcPr>
            <w:tcW w:w="1188" w:type="dxa"/>
            <w:shd w:val="clear" w:color="auto" w:fill="auto"/>
          </w:tcPr>
          <w:p>
            <w:pPr>
              <w:jc w:val="center"/>
              <w:rPr>
                <w:rFonts w:ascii="宋体"/>
                <w:b/>
                <w:sz w:val="44"/>
              </w:rPr>
            </w:pPr>
          </w:p>
        </w:tc>
        <w:tc>
          <w:tcPr>
            <w:tcW w:w="1260" w:type="dxa"/>
            <w:shd w:val="clear" w:color="auto" w:fill="auto"/>
          </w:tcPr>
          <w:p>
            <w:pPr>
              <w:jc w:val="center"/>
              <w:rPr>
                <w:rFonts w:ascii="宋体"/>
                <w:b/>
                <w:sz w:val="44"/>
              </w:rPr>
            </w:pPr>
          </w:p>
        </w:tc>
      </w:tr>
    </w:tbl>
    <w:p>
      <w:pPr>
        <w:rPr>
          <w:rFonts w:ascii="宋体"/>
          <w:b/>
          <w:sz w:val="44"/>
        </w:rPr>
      </w:pPr>
    </w:p>
    <w:p>
      <w:pPr>
        <w:jc w:val="center"/>
        <w:rPr>
          <w:b/>
          <w:spacing w:val="56"/>
          <w:sz w:val="44"/>
          <w:szCs w:val="44"/>
        </w:rPr>
      </w:pPr>
      <w:r>
        <w:rPr>
          <w:rFonts w:hint="eastAsia" w:ascii="宋体"/>
          <w:b/>
          <w:spacing w:val="56"/>
          <w:sz w:val="44"/>
          <w:szCs w:val="44"/>
        </w:rPr>
        <w:t>深 圳 大 学 实 验 报 告</w:t>
      </w:r>
    </w:p>
    <w:p>
      <w:pPr>
        <w:rPr>
          <w:b/>
          <w:sz w:val="28"/>
        </w:rPr>
      </w:pPr>
    </w:p>
    <w:p>
      <w:pPr>
        <w:spacing w:line="900" w:lineRule="auto"/>
        <w:ind w:left="601" w:firstLine="1079" w:firstLineChars="384"/>
        <w:rPr>
          <w:b/>
          <w:sz w:val="28"/>
        </w:rPr>
      </w:pPr>
      <w:r>
        <w:rPr>
          <w:rFonts w:hint="eastAsia"/>
          <w:b/>
          <w:sz w:val="28"/>
        </w:rPr>
        <w:t>课程名称：</w:t>
      </w:r>
      <w:r>
        <w:rPr>
          <w:b/>
          <w:sz w:val="28"/>
        </w:rPr>
        <w:softHyphen/>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大学物理实验(一)    </w:t>
      </w:r>
      <w:r>
        <w:rPr>
          <w:b/>
          <w:sz w:val="28"/>
          <w:u w:val="single"/>
        </w:rPr>
        <w:t xml:space="preserve"> </w:t>
      </w:r>
      <w:r>
        <w:rPr>
          <w:rFonts w:hint="eastAsia"/>
          <w:b/>
          <w:sz w:val="28"/>
          <w:u w:val="single"/>
        </w:rPr>
        <w:t xml:space="preserve">    </w:t>
      </w:r>
    </w:p>
    <w:p>
      <w:pPr>
        <w:spacing w:line="900" w:lineRule="auto"/>
        <w:ind w:left="601" w:firstLine="1079" w:firstLineChars="384"/>
        <w:jc w:val="left"/>
        <w:rPr>
          <w:b/>
          <w:sz w:val="28"/>
          <w:szCs w:val="28"/>
          <w:u w:val="single"/>
        </w:rPr>
      </w:pPr>
      <w:r>
        <w:rPr>
          <w:rFonts w:hint="eastAsia"/>
          <w:b/>
          <w:sz w:val="28"/>
        </w:rPr>
        <w:t>实验名称：</w:t>
      </w:r>
      <w:r>
        <w:rPr>
          <w:rFonts w:hint="eastAsia"/>
          <w:b/>
          <w:sz w:val="28"/>
          <w:u w:val="single"/>
        </w:rPr>
        <w:t xml:space="preserve">          </w:t>
      </w:r>
      <w:r>
        <w:rPr>
          <w:b/>
          <w:sz w:val="28"/>
          <w:u w:val="single"/>
        </w:rPr>
        <w:t xml:space="preserve"> </w:t>
      </w:r>
      <w:r>
        <w:rPr>
          <w:rFonts w:hint="eastAsia"/>
          <w:b/>
          <w:sz w:val="28"/>
          <w:u w:val="single"/>
        </w:rPr>
        <w:t xml:space="preserve"> 电位差计              </w:t>
      </w:r>
      <w:r>
        <w:rPr>
          <w:rFonts w:hint="eastAsia"/>
          <w:b/>
          <w:sz w:val="28"/>
          <w:szCs w:val="28"/>
          <w:u w:val="single"/>
        </w:rPr>
        <w:t xml:space="preserve"> </w:t>
      </w:r>
    </w:p>
    <w:p>
      <w:pPr>
        <w:spacing w:line="900" w:lineRule="auto"/>
        <w:ind w:left="601" w:firstLine="1079" w:firstLineChars="384"/>
        <w:rPr>
          <w:b/>
          <w:sz w:val="28"/>
          <w:u w:val="single"/>
        </w:rPr>
      </w:pPr>
      <w:r>
        <w:rPr>
          <w:rFonts w:hint="eastAsia"/>
          <w:b/>
          <w:sz w:val="28"/>
        </w:rPr>
        <w:t>学    院：</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数学</w:t>
      </w:r>
      <w:r>
        <w:rPr>
          <w:rFonts w:hint="eastAsia"/>
          <w:b/>
          <w:sz w:val="28"/>
          <w:u w:val="single"/>
          <w:lang w:val="en-US" w:eastAsia="zh-CN"/>
        </w:rPr>
        <w:t>科学学院</w:t>
      </w:r>
      <w:r>
        <w:rPr>
          <w:rFonts w:hint="eastAsia"/>
          <w:b/>
          <w:sz w:val="28"/>
          <w:u w:val="single"/>
        </w:rPr>
        <w:t xml:space="preserve">    </w:t>
      </w:r>
      <w:r>
        <w:rPr>
          <w:b/>
          <w:sz w:val="28"/>
          <w:u w:val="single"/>
        </w:rPr>
        <w:t xml:space="preserve">    </w:t>
      </w:r>
      <w:r>
        <w:rPr>
          <w:rFonts w:hint="eastAsia"/>
          <w:b/>
          <w:sz w:val="28"/>
          <w:u w:val="single"/>
        </w:rPr>
        <w:t xml:space="preserve">    </w:t>
      </w:r>
    </w:p>
    <w:p>
      <w:pPr>
        <w:spacing w:line="900" w:lineRule="auto"/>
        <w:ind w:left="601" w:firstLine="1079" w:firstLineChars="384"/>
        <w:rPr>
          <w:b/>
          <w:sz w:val="28"/>
        </w:rPr>
      </w:pPr>
      <w:r>
        <w:rPr>
          <w:rFonts w:hint="eastAsia"/>
          <w:b/>
          <w:sz w:val="28"/>
        </w:rPr>
        <w:t>指导教师：</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郭树青</w:t>
      </w:r>
      <w:r>
        <w:rPr>
          <w:rFonts w:hint="eastAsia"/>
          <w:b/>
          <w:sz w:val="28"/>
          <w:u w:val="single"/>
        </w:rPr>
        <w:t xml:space="preserve">               </w:t>
      </w:r>
      <w:r>
        <w:rPr>
          <w:rFonts w:hint="eastAsia"/>
          <w:b/>
          <w:sz w:val="28"/>
        </w:rPr>
        <w:t xml:space="preserve"> </w:t>
      </w:r>
    </w:p>
    <w:p>
      <w:pPr>
        <w:spacing w:line="900" w:lineRule="auto"/>
        <w:ind w:left="601" w:firstLine="1079" w:firstLineChars="384"/>
        <w:rPr>
          <w:b/>
          <w:sz w:val="28"/>
        </w:rPr>
      </w:pPr>
      <w:r>
        <w:rPr>
          <w:rFonts w:hint="eastAsia"/>
          <w:b/>
          <w:sz w:val="28"/>
        </w:rPr>
        <w:t>报告人：</w:t>
      </w:r>
      <w:r>
        <w:rPr>
          <w:rFonts w:hint="eastAsia"/>
          <w:b/>
          <w:sz w:val="28"/>
          <w:u w:val="single"/>
        </w:rPr>
        <w:t xml:space="preserve">    </w:t>
      </w:r>
      <w:r>
        <w:rPr>
          <w:rFonts w:hint="eastAsia"/>
          <w:b/>
          <w:sz w:val="28"/>
          <w:u w:val="single"/>
          <w:lang w:val="en-US" w:eastAsia="zh-CN"/>
        </w:rPr>
        <w:t>黄嘉聪</w:t>
      </w:r>
      <w:r>
        <w:rPr>
          <w:rFonts w:hint="eastAsia"/>
          <w:b/>
          <w:sz w:val="28"/>
          <w:u w:val="single"/>
        </w:rPr>
        <w:t xml:space="preserve">    </w:t>
      </w:r>
      <w:r>
        <w:rPr>
          <w:b/>
          <w:sz w:val="28"/>
        </w:rPr>
        <w:t xml:space="preserve"> </w:t>
      </w:r>
      <w:r>
        <w:rPr>
          <w:rFonts w:hint="eastAsia"/>
          <w:b/>
          <w:sz w:val="28"/>
        </w:rPr>
        <w:t>组号：</w:t>
      </w:r>
      <w:r>
        <w:rPr>
          <w:rFonts w:hint="eastAsia"/>
          <w:b/>
          <w:sz w:val="28"/>
          <w:u w:val="single"/>
        </w:rPr>
        <w:t xml:space="preserve">       </w:t>
      </w:r>
      <w:r>
        <w:rPr>
          <w:rFonts w:hint="eastAsia"/>
          <w:b/>
          <w:sz w:val="28"/>
          <w:u w:val="single"/>
          <w:lang w:val="en-US" w:eastAsia="zh-CN"/>
        </w:rPr>
        <w:t>17</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pPr>
        <w:spacing w:line="900" w:lineRule="auto"/>
        <w:ind w:left="601" w:firstLine="1079" w:firstLineChars="384"/>
        <w:rPr>
          <w:b/>
          <w:sz w:val="28"/>
          <w:u w:val="single"/>
        </w:rPr>
      </w:pPr>
      <w:r>
        <w:rPr>
          <w:rFonts w:hint="eastAsia"/>
          <w:b/>
          <w:sz w:val="28"/>
        </w:rPr>
        <w:t>学号</w:t>
      </w:r>
      <w:r>
        <w:rPr>
          <w:rFonts w:hint="eastAsia"/>
          <w:b/>
          <w:sz w:val="28"/>
          <w:u w:val="single"/>
        </w:rPr>
        <w:t xml:space="preserve"> </w:t>
      </w:r>
      <w:r>
        <w:rPr>
          <w:b/>
          <w:sz w:val="28"/>
          <w:u w:val="single"/>
        </w:rPr>
        <w:t xml:space="preserve"> 202</w:t>
      </w:r>
      <w:r>
        <w:rPr>
          <w:rFonts w:hint="eastAsia"/>
          <w:b/>
          <w:sz w:val="28"/>
          <w:u w:val="single"/>
          <w:lang w:val="en-US" w:eastAsia="zh-CN"/>
        </w:rPr>
        <w:t>3</w:t>
      </w:r>
      <w:r>
        <w:rPr>
          <w:b/>
          <w:sz w:val="28"/>
          <w:u w:val="single"/>
        </w:rPr>
        <w:t>1920</w:t>
      </w:r>
      <w:r>
        <w:rPr>
          <w:rFonts w:hint="eastAsia"/>
          <w:b/>
          <w:sz w:val="28"/>
          <w:u w:val="single"/>
          <w:lang w:val="en-US" w:eastAsia="zh-CN"/>
        </w:rPr>
        <w:t>44</w:t>
      </w:r>
      <w:r>
        <w:rPr>
          <w:rFonts w:hint="eastAsia"/>
          <w:b/>
          <w:sz w:val="28"/>
          <w:u w:val="single"/>
        </w:rPr>
        <w:t xml:space="preserve"> </w:t>
      </w:r>
      <w:r>
        <w:rPr>
          <w:b/>
          <w:sz w:val="28"/>
          <w:u w:val="single"/>
        </w:rPr>
        <w:t xml:space="preserve"> </w:t>
      </w:r>
      <w:r>
        <w:rPr>
          <w:rFonts w:hint="eastAsia"/>
          <w:b/>
          <w:sz w:val="28"/>
        </w:rPr>
        <w:t xml:space="preserve"> 实验地点</w:t>
      </w:r>
      <w:r>
        <w:rPr>
          <w:rFonts w:hint="eastAsia"/>
          <w:b/>
          <w:sz w:val="28"/>
          <w:u w:val="single"/>
        </w:rPr>
        <w:t xml:space="preserve">   </w:t>
      </w:r>
      <w:r>
        <w:rPr>
          <w:b/>
          <w:sz w:val="28"/>
          <w:u w:val="single"/>
        </w:rPr>
        <w:t xml:space="preserve"> </w:t>
      </w:r>
      <w:r>
        <w:rPr>
          <w:rFonts w:hint="eastAsia"/>
          <w:b/>
          <w:sz w:val="28"/>
          <w:u w:val="single"/>
        </w:rPr>
        <w:t xml:space="preserve"> 致原楼2</w:t>
      </w:r>
      <w:r>
        <w:rPr>
          <w:b/>
          <w:sz w:val="28"/>
          <w:u w:val="single"/>
        </w:rPr>
        <w:t>10</w:t>
      </w:r>
      <w:r>
        <w:rPr>
          <w:rFonts w:hint="eastAsia"/>
          <w:b/>
          <w:sz w:val="28"/>
          <w:u w:val="single"/>
        </w:rPr>
        <w:t xml:space="preserve">    </w:t>
      </w:r>
    </w:p>
    <w:p>
      <w:pPr>
        <w:spacing w:line="900" w:lineRule="auto"/>
        <w:ind w:left="601" w:firstLine="1079" w:firstLineChars="384"/>
        <w:rPr>
          <w:b/>
          <w:sz w:val="28"/>
        </w:rPr>
      </w:pPr>
      <w:r>
        <w:rPr>
          <w:rFonts w:hint="eastAsia"/>
          <w:b/>
          <w:sz w:val="28"/>
        </w:rPr>
        <w:t>实验时间：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2023  </w:t>
      </w:r>
      <w:r>
        <w:rPr>
          <w:rFonts w:hint="eastAsia"/>
          <w:b/>
          <w:sz w:val="28"/>
          <w:u w:val="single"/>
        </w:rPr>
        <w:t xml:space="preserve"> </w:t>
      </w:r>
      <w:r>
        <w:rPr>
          <w:rFonts w:hint="eastAsia"/>
          <w:b/>
          <w:sz w:val="28"/>
        </w:rPr>
        <w:t>年</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6</w:t>
      </w:r>
      <w:r>
        <w:rPr>
          <w:b/>
          <w:sz w:val="28"/>
          <w:u w:val="single"/>
        </w:rPr>
        <w:t xml:space="preserve">    </w:t>
      </w:r>
      <w:r>
        <w:rPr>
          <w:rFonts w:hint="eastAsia"/>
          <w:b/>
          <w:sz w:val="28"/>
        </w:rPr>
        <w:t>月</w:t>
      </w:r>
      <w:r>
        <w:rPr>
          <w:rFonts w:hint="eastAsia"/>
          <w:b/>
          <w:sz w:val="28"/>
          <w:u w:val="single"/>
        </w:rPr>
        <w:t xml:space="preserve">    </w:t>
      </w:r>
      <w:r>
        <w:rPr>
          <w:b/>
          <w:sz w:val="28"/>
          <w:u w:val="single"/>
        </w:rPr>
        <w:t xml:space="preserve"> </w:t>
      </w:r>
      <w:r>
        <w:rPr>
          <w:rFonts w:hint="eastAsia"/>
          <w:b/>
          <w:sz w:val="28"/>
          <w:u w:val="single"/>
          <w:lang w:val="en-US" w:eastAsia="zh-CN"/>
        </w:rPr>
        <w:t>4</w:t>
      </w:r>
      <w:r>
        <w:rPr>
          <w:b/>
          <w:sz w:val="28"/>
          <w:u w:val="single"/>
        </w:rPr>
        <w:t xml:space="preserve">   </w:t>
      </w:r>
      <w:r>
        <w:rPr>
          <w:rFonts w:hint="eastAsia"/>
          <w:b/>
          <w:sz w:val="28"/>
          <w:u w:val="single"/>
        </w:rPr>
        <w:t xml:space="preserve"> </w:t>
      </w:r>
      <w:r>
        <w:rPr>
          <w:rFonts w:hint="eastAsia"/>
          <w:b/>
          <w:sz w:val="28"/>
        </w:rPr>
        <w:t xml:space="preserve">日 </w:t>
      </w:r>
    </w:p>
    <w:p>
      <w:pPr>
        <w:spacing w:line="900" w:lineRule="auto"/>
        <w:ind w:left="601" w:firstLine="1079" w:firstLineChars="384"/>
        <w:rPr>
          <w:b/>
          <w:sz w:val="28"/>
        </w:rPr>
      </w:pPr>
      <w:r>
        <w:rPr>
          <w:rFonts w:hint="eastAsia"/>
          <w:b/>
          <w:sz w:val="28"/>
        </w:rPr>
        <w:t>提交时间：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2023</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年</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rPr>
        <w:t>月</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rFonts w:hint="eastAsia"/>
          <w:b/>
          <w:sz w:val="28"/>
        </w:rPr>
        <w:t>日</w:t>
      </w:r>
    </w:p>
    <w:p>
      <w:pPr>
        <w:rPr>
          <w:b/>
          <w:sz w:val="28"/>
          <w:szCs w:val="28"/>
          <w:u w:val="single"/>
        </w:rPr>
      </w:pPr>
    </w:p>
    <w:p>
      <w:pPr>
        <w:rPr>
          <w:b/>
          <w:sz w:val="28"/>
          <w:szCs w:val="28"/>
          <w:u w:val="single"/>
        </w:rPr>
      </w:pPr>
    </w:p>
    <w:p>
      <w:pPr>
        <w:rPr>
          <w:b/>
          <w:sz w:val="28"/>
          <w:szCs w:val="28"/>
        </w:rPr>
      </w:pPr>
    </w:p>
    <w:p>
      <w:pPr>
        <w:pStyle w:val="2"/>
        <w:rPr>
          <w:sz w:val="36"/>
          <w:szCs w:val="36"/>
        </w:rPr>
      </w:pPr>
      <w:r>
        <w:rPr>
          <w:rFonts w:hint="eastAsia"/>
          <w:sz w:val="36"/>
          <w:szCs w:val="36"/>
        </w:rPr>
        <w:t>实验目的</w:t>
      </w:r>
    </w:p>
    <w:p>
      <w:pPr>
        <w:numPr>
          <w:ilvl w:val="0"/>
          <w:numId w:val="2"/>
        </w:numPr>
      </w:pPr>
      <w:r>
        <w:rPr>
          <w:rFonts w:hint="eastAsia"/>
          <w:b/>
          <w:bCs/>
        </w:rPr>
        <w:t>了解补偿法测量电动势的原理</w:t>
      </w:r>
    </w:p>
    <w:p>
      <w:pPr>
        <w:numPr>
          <w:ilvl w:val="0"/>
          <w:numId w:val="2"/>
        </w:numPr>
      </w:pPr>
      <w:r>
        <w:rPr>
          <w:rFonts w:hint="eastAsia"/>
          <w:b/>
          <w:bCs/>
        </w:rPr>
        <w:t>掌握使用电位差计测量电压的方法</w:t>
      </w:r>
    </w:p>
    <w:p>
      <w:pPr>
        <w:numPr>
          <w:ilvl w:val="0"/>
          <w:numId w:val="2"/>
        </w:numPr>
      </w:pPr>
      <w:r>
        <w:rPr>
          <w:rFonts w:hint="eastAsia"/>
          <w:b/>
          <w:bCs/>
        </w:rPr>
        <w:t>绘制毫安表的校准曲线</w:t>
      </w:r>
    </w:p>
    <w:p>
      <w:pPr>
        <w:pStyle w:val="2"/>
        <w:rPr>
          <w:sz w:val="36"/>
          <w:szCs w:val="36"/>
        </w:rPr>
      </w:pPr>
      <w:r>
        <w:rPr>
          <w:rFonts w:hint="eastAsia"/>
          <w:sz w:val="36"/>
          <w:szCs w:val="36"/>
        </w:rPr>
        <w:t>实验原理</w:t>
      </w:r>
    </w:p>
    <w:p>
      <w:pPr>
        <w:numPr>
          <w:ilvl w:val="0"/>
          <w:numId w:val="3"/>
        </w:numPr>
      </w:pPr>
      <w:r>
        <w:rPr>
          <w:rFonts w:hint="eastAsia"/>
        </w:rPr>
        <w:t>补偿原理</w:t>
      </w:r>
    </w:p>
    <w:p>
      <w:pPr>
        <w:ind w:left="840"/>
        <w:rPr>
          <w:rFonts w:hint="eastAsia"/>
        </w:rPr>
      </w:pPr>
    </w:p>
    <w:p>
      <w:pPr>
        <w:ind w:left="840"/>
      </w:pPr>
      <w:r>
        <w:tab/>
      </w:r>
      <w:r>
        <w:rPr>
          <w:rFonts w:hint="eastAsia"/>
        </w:rPr>
        <w:t>电位差计的测量原理核心是:</w:t>
      </w:r>
      <w:r>
        <w:t xml:space="preserve"> </w:t>
      </w:r>
      <w:r>
        <w:rPr>
          <w:rFonts w:hint="eastAsia"/>
        </w:rPr>
        <w:t>利用自身的输出电压与待测电压进行比较,</w:t>
      </w:r>
      <w:r>
        <w:t xml:space="preserve"> </w:t>
      </w:r>
      <w:r>
        <w:rPr>
          <w:rFonts w:hint="eastAsia"/>
        </w:rPr>
        <w:t>因此被称为</w:t>
      </w:r>
      <w:r>
        <w:t>“</w:t>
      </w:r>
      <w:r>
        <w:rPr>
          <w:rFonts w:hint="eastAsia"/>
        </w:rPr>
        <w:t>电位差计</w:t>
      </w:r>
      <w:r>
        <w:t>”.</w:t>
      </w:r>
      <w:r>
        <w:rPr>
          <w:rFonts w:hint="eastAsia"/>
        </w:rPr>
        <w:t xml:space="preserve"> 如图</w:t>
      </w:r>
      <w:r>
        <w:t>2-1</w:t>
      </w:r>
      <w:r>
        <w:rPr>
          <w:rFonts w:hint="eastAsia"/>
        </w:rPr>
        <w:t>所示,</w:t>
      </w:r>
      <w:r>
        <w:t xml:space="preserve"> </w:t>
      </w:r>
      <w:r>
        <w:rPr>
          <w:rFonts w:hint="eastAsia"/>
        </w:rPr>
        <w:t>假设Ex代表待测电动势或未知电压,</w:t>
      </w:r>
      <w:r>
        <w:t xml:space="preserve"> </w:t>
      </w:r>
      <w:r>
        <w:rPr>
          <w:rFonts w:hint="eastAsia"/>
        </w:rPr>
        <w:t>E</w:t>
      </w:r>
      <w:r>
        <w:rPr>
          <w:vertAlign w:val="subscript"/>
        </w:rPr>
        <w:t>0</w:t>
      </w:r>
      <w:r>
        <w:rPr>
          <w:rFonts w:hint="eastAsia"/>
        </w:rPr>
        <w:t>是可调节的电源电压,</w:t>
      </w:r>
      <w:r>
        <w:t xml:space="preserve"> </w:t>
      </w:r>
      <w:r>
        <w:rPr>
          <w:rFonts w:hint="eastAsia"/>
        </w:rPr>
        <w:t>电表G是高灵敏度的检流计,</w:t>
      </w:r>
      <w:r>
        <w:t xml:space="preserve"> </w:t>
      </w:r>
      <w:r>
        <w:rPr>
          <w:rFonts w:hint="eastAsia"/>
        </w:rPr>
        <w:t>E</w:t>
      </w:r>
      <w:r>
        <w:rPr>
          <w:rFonts w:hint="eastAsia"/>
          <w:vertAlign w:val="subscript"/>
        </w:rPr>
        <w:t>x</w:t>
      </w:r>
      <w:r>
        <w:rPr>
          <w:rFonts w:hint="eastAsia"/>
        </w:rPr>
        <w:t>和E</w:t>
      </w:r>
      <w:r>
        <w:rPr>
          <w:vertAlign w:val="subscript"/>
        </w:rPr>
        <w:t>0</w:t>
      </w:r>
      <w:r>
        <w:rPr>
          <w:rFonts w:hint="eastAsia"/>
        </w:rPr>
        <w:t>通过检流计并联连接.</w:t>
      </w:r>
      <w:r>
        <w:t xml:space="preserve"> </w:t>
      </w:r>
      <w:r>
        <w:rPr>
          <w:rFonts w:hint="eastAsia"/>
        </w:rPr>
        <w:t>在电路通电后,</w:t>
      </w:r>
      <w:r>
        <w:t xml:space="preserve"> </w:t>
      </w:r>
      <w:r>
        <w:rPr>
          <w:rFonts w:hint="eastAsia"/>
        </w:rPr>
        <w:t>调整E</w:t>
      </w:r>
      <w:r>
        <w:rPr>
          <w:vertAlign w:val="subscript"/>
        </w:rPr>
        <w:t>0</w:t>
      </w:r>
      <w:r>
        <w:rPr>
          <w:rFonts w:hint="eastAsia"/>
        </w:rPr>
        <w:t>的数值,</w:t>
      </w:r>
      <w:r>
        <w:t xml:space="preserve"> </w:t>
      </w:r>
      <w:r>
        <w:rPr>
          <w:rFonts w:hint="eastAsia"/>
        </w:rPr>
        <w:t>当E</w:t>
      </w:r>
      <w:r>
        <w:rPr>
          <w:vertAlign w:val="subscript"/>
        </w:rPr>
        <w:t xml:space="preserve">x </w:t>
      </w:r>
      <w:r>
        <w:rPr>
          <w:rFonts w:hint="eastAsia"/>
        </w:rPr>
        <w:t>=</w:t>
      </w:r>
      <w:r>
        <w:t xml:space="preserve"> </w:t>
      </w:r>
      <w:r>
        <w:rPr>
          <w:rFonts w:hint="eastAsia"/>
        </w:rPr>
        <w:t>E</w:t>
      </w:r>
      <w:r>
        <w:rPr>
          <w:vertAlign w:val="subscript"/>
        </w:rPr>
        <w:t>0</w:t>
      </w:r>
      <w:r>
        <w:rPr>
          <w:rFonts w:hint="eastAsia"/>
        </w:rPr>
        <w:t>时,</w:t>
      </w:r>
      <w:r>
        <w:t xml:space="preserve"> </w:t>
      </w:r>
      <w:r>
        <w:rPr>
          <w:rFonts w:hint="eastAsia"/>
        </w:rPr>
        <w:t>检流计不会发生偏转,</w:t>
      </w:r>
      <w:r>
        <w:t xml:space="preserve"> </w:t>
      </w:r>
      <w:r>
        <w:rPr>
          <w:rFonts w:hint="eastAsia"/>
        </w:rPr>
        <w:t>即电路内无电流,</w:t>
      </w:r>
      <w:r>
        <w:t xml:space="preserve"> </w:t>
      </w:r>
      <w:r>
        <w:rPr>
          <w:rFonts w:hint="eastAsia"/>
        </w:rPr>
        <w:t>两个电源的电动势大小相等,</w:t>
      </w:r>
      <w:r>
        <w:t xml:space="preserve"> </w:t>
      </w:r>
      <w:r>
        <w:rPr>
          <w:rFonts w:hint="eastAsia"/>
        </w:rPr>
        <w:t>这种状态被称为</w:t>
      </w:r>
      <w:r>
        <w:t>“</w:t>
      </w:r>
      <w:r>
        <w:rPr>
          <w:rFonts w:hint="eastAsia"/>
        </w:rPr>
        <w:t>补偿</w:t>
      </w:r>
      <w:r>
        <w:t>”.</w:t>
      </w:r>
      <w:r>
        <w:rPr>
          <w:rFonts w:hint="eastAsia"/>
        </w:rPr>
        <w:t xml:space="preserve"> 如果已知补偿状态下E</w:t>
      </w:r>
      <w:r>
        <w:rPr>
          <w:vertAlign w:val="subscript"/>
        </w:rPr>
        <w:t>0</w:t>
      </w:r>
      <w:r>
        <w:rPr>
          <w:rFonts w:hint="eastAsia"/>
        </w:rPr>
        <w:t>的数值,</w:t>
      </w:r>
      <w:r>
        <w:t xml:space="preserve"> </w:t>
      </w:r>
      <w:r>
        <w:rPr>
          <w:rFonts w:hint="eastAsia"/>
        </w:rPr>
        <w:t>便能确定E</w:t>
      </w:r>
      <w:r>
        <w:rPr>
          <w:vertAlign w:val="subscript"/>
        </w:rPr>
        <w:t>x</w:t>
      </w:r>
      <w:r>
        <w:rPr>
          <w:rFonts w:hint="eastAsia"/>
        </w:rPr>
        <w:t>.这种测定电源电动势的方法被称为补偿法.</w:t>
      </w:r>
      <w:r>
        <w:t xml:space="preserve"> </w:t>
      </w:r>
      <w:r>
        <w:rPr>
          <w:rFonts w:hint="eastAsia"/>
        </w:rPr>
        <w:t>电位差计正是基于补偿法原理设计的精密仪器.</w:t>
      </w:r>
    </w:p>
    <w:p>
      <w:pPr>
        <w:pStyle w:val="9"/>
        <w:keepNext/>
      </w:pPr>
      <w:r>
        <w:rPr>
          <w:rFonts w:hint="eastAsia"/>
        </w:rPr>
        <w:drawing>
          <wp:inline distT="0" distB="0" distL="0" distR="0">
            <wp:extent cx="1153795" cy="1066800"/>
            <wp:effectExtent l="0" t="0" r="0" b="0"/>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53795" cy="1066800"/>
                    </a:xfrm>
                    <a:prstGeom prst="rect">
                      <a:avLst/>
                    </a:prstGeom>
                    <a:noFill/>
                    <a:ln>
                      <a:noFill/>
                    </a:ln>
                  </pic:spPr>
                </pic:pic>
              </a:graphicData>
            </a:graphic>
          </wp:inline>
        </w:drawing>
      </w:r>
    </w:p>
    <w:p>
      <w:pPr>
        <w:pStyle w:val="3"/>
        <w:jc w:val="center"/>
        <w:rPr>
          <w:sz w:val="18"/>
          <w:szCs w:val="18"/>
        </w:rPr>
      </w:pPr>
      <w:r>
        <w:rPr>
          <w:sz w:val="18"/>
          <w:szCs w:val="18"/>
        </w:rPr>
        <w:t>图</w:t>
      </w:r>
      <w:r>
        <w:rPr>
          <w:sz w:val="18"/>
          <w:szCs w:val="18"/>
        </w:rPr>
        <w:fldChar w:fldCharType="begin"/>
      </w:r>
      <w:r>
        <w:rPr>
          <w:sz w:val="18"/>
          <w:szCs w:val="18"/>
        </w:rPr>
        <w:instrText xml:space="preserve"> SEQ 图表 \* ARABIC </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rPr>
        <w:t>补偿原理的示意图</w:t>
      </w:r>
    </w:p>
    <w:p/>
    <w:p>
      <w:pPr>
        <w:numPr>
          <w:ilvl w:val="0"/>
          <w:numId w:val="3"/>
        </w:numPr>
      </w:pPr>
      <w:r>
        <w:rPr>
          <w:rFonts w:hint="eastAsia"/>
        </w:rPr>
        <w:t>UJ33a型直流携带式电位差计的工作原理</w:t>
      </w:r>
    </w:p>
    <w:p>
      <w:pPr>
        <w:ind w:left="840"/>
      </w:pPr>
    </w:p>
    <w:p>
      <w:pPr>
        <w:ind w:left="840" w:firstLine="420"/>
      </w:pPr>
      <w:r>
        <w:rPr>
          <w:rFonts w:hint="eastAsia"/>
        </w:rPr>
        <w:t>如图2</w:t>
      </w:r>
      <w:r>
        <w:t>-2</w:t>
      </w:r>
      <w:r>
        <w:rPr>
          <w:rFonts w:hint="eastAsia"/>
        </w:rPr>
        <w:t>所示,</w:t>
      </w:r>
      <w:r>
        <w:t xml:space="preserve"> </w:t>
      </w:r>
      <w:r>
        <w:rPr>
          <w:rFonts w:hint="eastAsia"/>
        </w:rPr>
        <w:t xml:space="preserve">UJ33a型直流携带式电位差计的内部电路主要包含三个电路: </w:t>
      </w:r>
    </w:p>
    <w:p>
      <w:pPr>
        <w:ind w:left="840" w:firstLine="420"/>
      </w:pPr>
    </w:p>
    <w:p>
      <w:pPr>
        <w:pStyle w:val="18"/>
        <w:numPr>
          <w:ilvl w:val="0"/>
          <w:numId w:val="4"/>
        </w:numPr>
        <w:ind w:firstLineChars="0"/>
      </w:pPr>
      <w:r>
        <w:rPr>
          <w:rFonts w:hint="eastAsia"/>
        </w:rPr>
        <w:t>工作电路:</w:t>
      </w:r>
      <w:r>
        <w:t xml:space="preserve"> </w:t>
      </w:r>
      <w:r>
        <w:rPr>
          <w:rFonts w:hint="eastAsia"/>
        </w:rPr>
        <w:t>工作电路由内置电压E</w:t>
      </w:r>
      <w:r>
        <w:t xml:space="preserve">, </w:t>
      </w:r>
      <w:r>
        <w:rPr>
          <w:rFonts w:hint="eastAsia"/>
        </w:rPr>
        <w:t>工作电流调节电阻R</w:t>
      </w:r>
      <w:r>
        <w:rPr>
          <w:rFonts w:hint="eastAsia"/>
          <w:vertAlign w:val="subscript"/>
        </w:rPr>
        <w:t>p</w:t>
      </w:r>
      <w:r>
        <w:rPr>
          <w:rFonts w:hint="eastAsia"/>
        </w:rPr>
        <w:t>,</w:t>
      </w:r>
      <w:r>
        <w:t xml:space="preserve"> </w:t>
      </w:r>
      <w:r>
        <w:rPr>
          <w:rFonts w:hint="eastAsia"/>
        </w:rPr>
        <w:t>内置标准电阻R</w:t>
      </w:r>
      <w:r>
        <w:rPr>
          <w:rFonts w:hint="eastAsia"/>
          <w:vertAlign w:val="subscript"/>
        </w:rPr>
        <w:t>N</w:t>
      </w:r>
      <w:r>
        <w:rPr>
          <w:rFonts w:hint="eastAsia"/>
        </w:rPr>
        <w:t>,</w:t>
      </w:r>
      <w:r>
        <w:t xml:space="preserve"> </w:t>
      </w:r>
      <w:r>
        <w:rPr>
          <w:rFonts w:hint="eastAsia"/>
        </w:rPr>
        <w:t>补偿电阻R</w:t>
      </w:r>
      <w:r>
        <w:rPr>
          <w:rFonts w:hint="eastAsia"/>
          <w:vertAlign w:val="subscript"/>
        </w:rPr>
        <w:t>k</w:t>
      </w:r>
      <w:r>
        <w:rPr>
          <w:rFonts w:hint="eastAsia"/>
        </w:rPr>
        <w:t>组成的串联回路,</w:t>
      </w:r>
      <w:r>
        <w:t xml:space="preserve"> </w:t>
      </w:r>
      <w:r>
        <w:rPr>
          <w:rFonts w:hint="eastAsia"/>
        </w:rPr>
        <w:t>其实质上是一个限流回路, 用于提供工作电流I</w:t>
      </w:r>
      <w:r>
        <w:rPr>
          <w:rFonts w:hint="eastAsia"/>
          <w:vertAlign w:val="subscript"/>
        </w:rPr>
        <w:t>p</w:t>
      </w:r>
      <w:r>
        <w:rPr>
          <w:rFonts w:hint="eastAsia"/>
        </w:rPr>
        <w:t>.</w:t>
      </w:r>
      <w:r>
        <w:t xml:space="preserve"> </w:t>
      </w:r>
    </w:p>
    <w:p>
      <w:pPr>
        <w:pStyle w:val="18"/>
        <w:ind w:left="1620" w:firstLine="0" w:firstLineChars="0"/>
      </w:pPr>
    </w:p>
    <w:p>
      <w:pPr>
        <w:pStyle w:val="18"/>
        <w:numPr>
          <w:ilvl w:val="0"/>
          <w:numId w:val="4"/>
        </w:numPr>
        <w:ind w:firstLineChars="0"/>
      </w:pPr>
      <w:r>
        <w:rPr>
          <w:rFonts w:hint="eastAsia"/>
        </w:rPr>
        <w:t>电流校准回路:</w:t>
      </w:r>
      <w:r>
        <w:t xml:space="preserve"> </w:t>
      </w:r>
      <w:r>
        <w:rPr>
          <w:rFonts w:hint="eastAsia"/>
        </w:rPr>
        <w:t>由内置标准电池E</w:t>
      </w:r>
      <w:r>
        <w:rPr>
          <w:rFonts w:hint="eastAsia"/>
          <w:vertAlign w:val="subscript"/>
        </w:rPr>
        <w:t>N</w:t>
      </w:r>
      <w:r>
        <w:rPr>
          <w:rFonts w:hint="eastAsia"/>
        </w:rPr>
        <w:t>,</w:t>
      </w:r>
      <w:r>
        <w:t xml:space="preserve"> </w:t>
      </w:r>
      <w:r>
        <w:rPr>
          <w:rFonts w:hint="eastAsia"/>
        </w:rPr>
        <w:t>标准电阻R</w:t>
      </w:r>
      <w:r>
        <w:rPr>
          <w:rFonts w:hint="eastAsia"/>
          <w:vertAlign w:val="subscript"/>
        </w:rPr>
        <w:t>N</w:t>
      </w:r>
      <w:r>
        <w:rPr>
          <w:rFonts w:hint="eastAsia"/>
        </w:rPr>
        <w:t>和检流计G组成, 用于校准工作电流, 使其保持恒定值.</w:t>
      </w:r>
      <w:r>
        <w:t xml:space="preserve"> </w:t>
      </w:r>
      <w:r>
        <w:rPr>
          <w:rFonts w:hint="eastAsia"/>
        </w:rPr>
        <w:t>当K2开关接通“标准”端时, 调节R</w:t>
      </w:r>
      <w:r>
        <w:rPr>
          <w:rFonts w:hint="eastAsia"/>
          <w:vertAlign w:val="subscript"/>
        </w:rPr>
        <w:t>p</w:t>
      </w:r>
      <w:r>
        <w:rPr>
          <w:rFonts w:hint="eastAsia"/>
        </w:rPr>
        <w:t>使检流计回零, 此时满足</w:t>
      </w:r>
    </w:p>
    <w:p>
      <w:pPr>
        <w:rPr>
          <w:rFonts w:hint="eastAsia"/>
        </w:rPr>
      </w:pPr>
    </w:p>
    <w:p>
      <w:pPr>
        <w:ind w:left="840" w:firstLine="420"/>
        <w:rPr>
          <w:vertAlign w:val="subscript"/>
        </w:rPr>
      </w:pPr>
      <m:oMathPara>
        <m:oMath>
          <m:eqArr>
            <m:eqArrPr>
              <m:maxDist m:val="1"/>
              <m:ctrlPr>
                <w:rPr>
                  <w:rFonts w:ascii="Cambria Math" w:hAnsi="Cambria Math"/>
                  <w:i/>
                  <w:vertAlign w:val="subscript"/>
                </w:rPr>
              </m:ctrlPr>
            </m:eqArrPr>
            <m:e>
              <m:sSub>
                <m:sSubPr>
                  <m:ctrlPr>
                    <w:rPr>
                      <w:rFonts w:ascii="Cambria Math" w:hAnsi="Cambria Math"/>
                      <w:vertAlign w:val="subscript"/>
                    </w:rPr>
                  </m:ctrlPr>
                </m:sSubPr>
                <m:e>
                  <m:r>
                    <m:rPr/>
                    <w:rPr>
                      <w:rFonts w:ascii="Cambria Math" w:hAnsi="Cambria Math"/>
                      <w:vertAlign w:val="subscript"/>
                    </w:rPr>
                    <m:t>R</m:t>
                  </m:r>
                  <m:ctrlPr>
                    <w:rPr>
                      <w:rFonts w:ascii="Cambria Math" w:hAnsi="Cambria Math"/>
                      <w:vertAlign w:val="subscript"/>
                    </w:rPr>
                  </m:ctrlPr>
                </m:e>
                <m:sub>
                  <m:r>
                    <m:rPr/>
                    <w:rPr>
                      <w:rFonts w:ascii="Cambria Math" w:hAnsi="Cambria Math"/>
                      <w:vertAlign w:val="subscript"/>
                    </w:rPr>
                    <m:t>N</m:t>
                  </m:r>
                  <m:ctrlPr>
                    <w:rPr>
                      <w:rFonts w:ascii="Cambria Math" w:hAnsi="Cambria Math"/>
                      <w:vertAlign w:val="subscript"/>
                    </w:rPr>
                  </m:ctrlPr>
                </m:sub>
              </m:sSub>
              <m:sSub>
                <m:sSubPr>
                  <m:ctrlPr>
                    <w:rPr>
                      <w:rFonts w:ascii="Cambria Math" w:hAnsi="Cambria Math"/>
                      <w:vertAlign w:val="subscript"/>
                    </w:rPr>
                  </m:ctrlPr>
                </m:sSubPr>
                <m:e>
                  <m:r>
                    <m:rPr/>
                    <w:rPr>
                      <w:rFonts w:ascii="Cambria Math" w:hAnsi="Cambria Math"/>
                      <w:vertAlign w:val="subscript"/>
                    </w:rPr>
                    <m:t>I</m:t>
                  </m:r>
                  <m:ctrlPr>
                    <w:rPr>
                      <w:rFonts w:ascii="Cambria Math" w:hAnsi="Cambria Math"/>
                      <w:vertAlign w:val="subscript"/>
                    </w:rPr>
                  </m:ctrlPr>
                </m:e>
                <m:sub>
                  <m:r>
                    <m:rPr/>
                    <w:rPr>
                      <w:rFonts w:ascii="Cambria Math" w:hAnsi="Cambria Math"/>
                      <w:vertAlign w:val="subscript"/>
                    </w:rPr>
                    <m:t>p</m:t>
                  </m:r>
                  <m:ctrlPr>
                    <w:rPr>
                      <w:rFonts w:ascii="Cambria Math" w:hAnsi="Cambria Math"/>
                      <w:vertAlign w:val="subscript"/>
                    </w:rPr>
                  </m:ctrlPr>
                </m:sub>
              </m:sSub>
              <m:r>
                <m:rPr>
                  <m:sty m:val="p"/>
                </m:rPr>
                <w:rPr>
                  <w:rFonts w:ascii="Cambria Math" w:hAnsi="Cambria Math"/>
                  <w:vertAlign w:val="subscript"/>
                </w:rPr>
                <m:t>=</m:t>
              </m:r>
              <m:sSub>
                <m:sSubPr>
                  <m:ctrlPr>
                    <w:rPr>
                      <w:rFonts w:ascii="Cambria Math" w:hAnsi="Cambria Math"/>
                      <w:vertAlign w:val="subscript"/>
                    </w:rPr>
                  </m:ctrlPr>
                </m:sSubPr>
                <m:e>
                  <m:r>
                    <m:rPr/>
                    <w:rPr>
                      <w:rFonts w:ascii="Cambria Math" w:hAnsi="Cambria Math"/>
                      <w:vertAlign w:val="subscript"/>
                    </w:rPr>
                    <m:t>E</m:t>
                  </m:r>
                  <m:ctrlPr>
                    <w:rPr>
                      <w:rFonts w:ascii="Cambria Math" w:hAnsi="Cambria Math"/>
                      <w:vertAlign w:val="subscript"/>
                    </w:rPr>
                  </m:ctrlPr>
                </m:e>
                <m:sub>
                  <m:r>
                    <m:rPr/>
                    <w:rPr>
                      <w:rFonts w:ascii="Cambria Math" w:hAnsi="Cambria Math"/>
                      <w:vertAlign w:val="subscript"/>
                    </w:rPr>
                    <m:t>N</m:t>
                  </m:r>
                  <m:ctrlPr>
                    <w:rPr>
                      <w:rFonts w:ascii="Cambria Math" w:hAnsi="Cambria Math"/>
                      <w:vertAlign w:val="subscript"/>
                    </w:rPr>
                  </m:ctrlPr>
                </m:sub>
              </m:sSub>
              <m:r>
                <m:rPr/>
                <w:rPr>
                  <w:rFonts w:ascii="Cambria Math" w:hAnsi="Cambria Math"/>
                  <w:vertAlign w:val="subscript"/>
                </w:rPr>
                <m:t>#</m:t>
              </m:r>
              <m:d>
                <m:dPr>
                  <m:ctrlPr>
                    <w:rPr>
                      <w:rFonts w:ascii="Cambria Math" w:hAnsi="Cambria Math"/>
                      <w:i/>
                      <w:vertAlign w:val="subscript"/>
                    </w:rPr>
                  </m:ctrlPr>
                </m:dPr>
                <m:e>
                  <m:r>
                    <m:rPr/>
                    <w:rPr>
                      <w:rFonts w:ascii="Cambria Math" w:hAnsi="Cambria Math"/>
                      <w:vertAlign w:val="subscript"/>
                    </w:rPr>
                    <m:t>1</m:t>
                  </m:r>
                  <m:ctrlPr>
                    <w:rPr>
                      <w:rFonts w:ascii="Cambria Math" w:hAnsi="Cambria Math"/>
                      <w:i/>
                      <w:vertAlign w:val="subscript"/>
                    </w:rPr>
                  </m:ctrlPr>
                </m:e>
              </m:d>
              <m:ctrlPr>
                <w:rPr>
                  <w:rFonts w:ascii="Cambria Math" w:hAnsi="Cambria Math"/>
                  <w:i/>
                  <w:vertAlign w:val="subscript"/>
                </w:rPr>
              </m:ctrlPr>
            </m:e>
          </m:eqArr>
        </m:oMath>
      </m:oMathPara>
    </w:p>
    <w:p>
      <w:pPr>
        <w:ind w:left="840" w:firstLine="420"/>
      </w:pPr>
      <w:r>
        <w:tab/>
      </w:r>
      <w:r>
        <w:rPr>
          <w:rFonts w:hint="eastAsia"/>
        </w:rPr>
        <w:t>工作电流为</w:t>
      </w:r>
    </w:p>
    <w:p>
      <w:pPr>
        <w:ind w:left="840" w:firstLine="420"/>
        <w:rPr>
          <w:rFonts w:hint="eastAsia"/>
        </w:rPr>
      </w:pPr>
    </w:p>
    <w:p>
      <w:pPr>
        <w:ind w:left="840" w:firstLine="42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1.01863 V</m:t>
                  </m:r>
                  <m:ctrlPr>
                    <w:rPr>
                      <w:rFonts w:ascii="Cambria Math" w:hAnsi="Cambria Math"/>
                      <w:i/>
                    </w:rPr>
                  </m:ctrlPr>
                </m:num>
                <m:den>
                  <m:r>
                    <m:rPr/>
                    <w:rPr>
                      <w:rFonts w:ascii="Cambria Math" w:hAnsi="Cambria Math"/>
                    </w:rPr>
                    <m:t xml:space="preserve">101.863 </m:t>
                  </m:r>
                  <m:r>
                    <m:rPr/>
                    <w:rPr>
                      <w:rFonts w:hint="eastAsia" w:ascii="Cambria Math" w:hAnsi="Cambria Math"/>
                    </w:rPr>
                    <m:t>Ω</m:t>
                  </m:r>
                  <m:ctrlPr>
                    <w:rPr>
                      <w:rFonts w:ascii="Cambria Math" w:hAnsi="Cambria Math"/>
                      <w:i/>
                    </w:rPr>
                  </m:ctrlPr>
                </m:den>
              </m:f>
              <m:r>
                <m:rPr/>
                <w:rPr>
                  <w:rFonts w:ascii="Cambria Math" w:hAnsi="Cambria Math"/>
                </w:rPr>
                <m:t>=10.000000 mA#</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e>
          </m:eqArr>
        </m:oMath>
      </m:oMathPara>
    </w:p>
    <w:p/>
    <w:p>
      <w:pPr>
        <w:pStyle w:val="18"/>
        <w:numPr>
          <w:ilvl w:val="0"/>
          <w:numId w:val="4"/>
        </w:numPr>
        <w:ind w:firstLineChars="0"/>
      </w:pPr>
      <w:r>
        <w:rPr>
          <w:rFonts w:hint="eastAsia"/>
        </w:rPr>
        <w:t>测量回路:</w:t>
      </w:r>
      <w:r>
        <w:t xml:space="preserve"> </w:t>
      </w:r>
      <w:r>
        <w:rPr>
          <w:rFonts w:hint="eastAsia"/>
        </w:rPr>
        <w:t>由补偿电阻R</w:t>
      </w:r>
      <w:r>
        <w:rPr>
          <w:rFonts w:hint="eastAsia"/>
          <w:vertAlign w:val="subscript"/>
        </w:rPr>
        <w:t>k</w:t>
      </w:r>
      <w:r>
        <w:rPr>
          <w:rFonts w:hint="eastAsia"/>
        </w:rPr>
        <w:t>,</w:t>
      </w:r>
      <w:r>
        <w:t xml:space="preserve"> </w:t>
      </w:r>
      <w:r>
        <w:rPr>
          <w:rFonts w:hint="eastAsia"/>
        </w:rPr>
        <w:t>待测电动势或电压E</w:t>
      </w:r>
      <w:r>
        <w:rPr>
          <w:rFonts w:hint="eastAsia"/>
          <w:vertAlign w:val="subscript"/>
        </w:rPr>
        <w:t>x</w:t>
      </w:r>
      <w:r>
        <w:rPr>
          <w:rFonts w:hint="eastAsia"/>
        </w:rPr>
        <w:t>和检流计G组成, 实际上是分压电路, 用于输出一个电压以补偿未知电压或电动势. 当Ex接入未知端时, 将K2接通</w:t>
      </w:r>
      <w:r>
        <w:t>“</w:t>
      </w:r>
      <w:r>
        <w:rPr>
          <w:rFonts w:hint="eastAsia"/>
        </w:rPr>
        <w:t>未知</w:t>
      </w:r>
      <w:r>
        <w:t>”</w:t>
      </w:r>
      <w:r>
        <w:rPr>
          <w:rFonts w:hint="eastAsia"/>
        </w:rPr>
        <w:t>端, 调节补偿电阻R</w:t>
      </w:r>
      <w:r>
        <w:rPr>
          <w:rFonts w:hint="eastAsia"/>
          <w:vertAlign w:val="subscript"/>
        </w:rPr>
        <w:t>k</w:t>
      </w:r>
      <w:r>
        <w:rPr>
          <w:rFonts w:hint="eastAsia"/>
        </w:rPr>
        <w:t>的滑动端C, 使检流计指零, 此时满足</w:t>
      </w:r>
    </w:p>
    <w:p>
      <w:pPr>
        <w:pStyle w:val="18"/>
        <w:ind w:left="1620" w:firstLine="0" w:firstLineChars="0"/>
        <w:rPr>
          <w:rFonts w:hint="eastAsia"/>
        </w:rPr>
      </w:pPr>
    </w:p>
    <w:p>
      <w:pPr>
        <w:pStyle w:val="18"/>
        <w:ind w:left="1620" w:firstLine="0" w:firstLineChars="0"/>
        <w:rPr>
          <w:vertAlign w:val="subscript"/>
        </w:rPr>
      </w:pPr>
      <m:oMathPara>
        <m:oMath>
          <m:eqArr>
            <m:eqArrPr>
              <m:maxDist m:val="1"/>
              <m:ctrlPr>
                <w:rPr>
                  <w:rFonts w:ascii="Cambria Math" w:hAnsi="Cambria Math"/>
                  <w:i/>
                  <w:vertAlign w:val="subscript"/>
                </w:rPr>
              </m:ctrlPr>
            </m:eqArrPr>
            <m:e>
              <m:sSub>
                <m:sSubPr>
                  <m:ctrlPr>
                    <w:rPr>
                      <w:rFonts w:ascii="Cambria Math" w:hAnsi="Cambria Math"/>
                      <w:vertAlign w:val="subscript"/>
                    </w:rPr>
                  </m:ctrlPr>
                </m:sSubPr>
                <m:e>
                  <m:r>
                    <m:rPr/>
                    <w:rPr>
                      <w:rFonts w:ascii="Cambria Math" w:hAnsi="Cambria Math"/>
                      <w:vertAlign w:val="subscript"/>
                    </w:rPr>
                    <m:t>R</m:t>
                  </m:r>
                  <m:ctrlPr>
                    <w:rPr>
                      <w:rFonts w:ascii="Cambria Math" w:hAnsi="Cambria Math"/>
                      <w:vertAlign w:val="subscript"/>
                    </w:rPr>
                  </m:ctrlPr>
                </m:e>
                <m:sub>
                  <m:r>
                    <m:rPr/>
                    <w:rPr>
                      <w:rFonts w:ascii="Cambria Math" w:hAnsi="Cambria Math"/>
                      <w:vertAlign w:val="subscript"/>
                    </w:rPr>
                    <m:t>k</m:t>
                  </m:r>
                  <m:ctrlPr>
                    <w:rPr>
                      <w:rFonts w:ascii="Cambria Math" w:hAnsi="Cambria Math"/>
                      <w:vertAlign w:val="subscript"/>
                    </w:rPr>
                  </m:ctrlPr>
                </m:sub>
              </m:sSub>
              <m:sSub>
                <m:sSubPr>
                  <m:ctrlPr>
                    <w:rPr>
                      <w:rFonts w:ascii="Cambria Math" w:hAnsi="Cambria Math"/>
                      <w:vertAlign w:val="subscript"/>
                    </w:rPr>
                  </m:ctrlPr>
                </m:sSubPr>
                <m:e>
                  <m:r>
                    <m:rPr/>
                    <w:rPr>
                      <w:rFonts w:ascii="Cambria Math" w:hAnsi="Cambria Math"/>
                      <w:vertAlign w:val="subscript"/>
                    </w:rPr>
                    <m:t>I</m:t>
                  </m:r>
                  <m:ctrlPr>
                    <w:rPr>
                      <w:rFonts w:ascii="Cambria Math" w:hAnsi="Cambria Math"/>
                      <w:vertAlign w:val="subscript"/>
                    </w:rPr>
                  </m:ctrlPr>
                </m:e>
                <m:sub>
                  <m:r>
                    <m:rPr/>
                    <w:rPr>
                      <w:rFonts w:ascii="Cambria Math" w:hAnsi="Cambria Math"/>
                      <w:vertAlign w:val="subscript"/>
                    </w:rPr>
                    <m:t>p</m:t>
                  </m:r>
                  <m:ctrlPr>
                    <w:rPr>
                      <w:rFonts w:ascii="Cambria Math" w:hAnsi="Cambria Math"/>
                      <w:vertAlign w:val="subscript"/>
                    </w:rPr>
                  </m:ctrlPr>
                </m:sub>
              </m:sSub>
              <m:r>
                <m:rPr>
                  <m:sty m:val="p"/>
                </m:rPr>
                <w:rPr>
                  <w:rFonts w:ascii="Cambria Math" w:hAnsi="Cambria Math"/>
                  <w:vertAlign w:val="subscript"/>
                </w:rPr>
                <m:t>=</m:t>
              </m:r>
              <m:sSub>
                <m:sSubPr>
                  <m:ctrlPr>
                    <w:rPr>
                      <w:rFonts w:ascii="Cambria Math" w:hAnsi="Cambria Math"/>
                      <w:vertAlign w:val="subscript"/>
                    </w:rPr>
                  </m:ctrlPr>
                </m:sSubPr>
                <m:e>
                  <m:r>
                    <m:rPr/>
                    <w:rPr>
                      <w:rFonts w:ascii="Cambria Math" w:hAnsi="Cambria Math"/>
                      <w:vertAlign w:val="subscript"/>
                    </w:rPr>
                    <m:t>E</m:t>
                  </m:r>
                  <m:ctrlPr>
                    <w:rPr>
                      <w:rFonts w:ascii="Cambria Math" w:hAnsi="Cambria Math"/>
                      <w:vertAlign w:val="subscript"/>
                    </w:rPr>
                  </m:ctrlPr>
                </m:e>
                <m:sub>
                  <m:r>
                    <m:rPr/>
                    <w:rPr>
                      <w:rFonts w:ascii="Cambria Math" w:hAnsi="Cambria Math"/>
                      <w:vertAlign w:val="subscript"/>
                    </w:rPr>
                    <m:t>k</m:t>
                  </m:r>
                  <m:ctrlPr>
                    <w:rPr>
                      <w:rFonts w:ascii="Cambria Math" w:hAnsi="Cambria Math"/>
                      <w:vertAlign w:val="subscript"/>
                    </w:rPr>
                  </m:ctrlPr>
                </m:sub>
              </m:sSub>
              <m:r>
                <m:rPr/>
                <w:rPr>
                  <w:rFonts w:ascii="Cambria Math" w:hAnsi="Cambria Math"/>
                  <w:vertAlign w:val="subscript"/>
                </w:rPr>
                <m:t>#</m:t>
              </m:r>
              <m:d>
                <m:dPr>
                  <m:ctrlPr>
                    <w:rPr>
                      <w:rFonts w:ascii="Cambria Math" w:hAnsi="Cambria Math"/>
                      <w:i/>
                      <w:vertAlign w:val="subscript"/>
                    </w:rPr>
                  </m:ctrlPr>
                </m:dPr>
                <m:e>
                  <m:r>
                    <m:rPr/>
                    <w:rPr>
                      <w:rFonts w:ascii="Cambria Math" w:hAnsi="Cambria Math"/>
                      <w:vertAlign w:val="subscript"/>
                    </w:rPr>
                    <m:t>3</m:t>
                  </m:r>
                  <m:ctrlPr>
                    <w:rPr>
                      <w:rFonts w:ascii="Cambria Math" w:hAnsi="Cambria Math"/>
                      <w:i/>
                      <w:vertAlign w:val="subscript"/>
                    </w:rPr>
                  </m:ctrlPr>
                </m:e>
              </m:d>
              <m:ctrlPr>
                <w:rPr>
                  <w:rFonts w:ascii="Cambria Math" w:hAnsi="Cambria Math"/>
                  <w:i/>
                  <w:vertAlign w:val="subscript"/>
                </w:rPr>
              </m:ctrlPr>
            </m:e>
          </m:eqArr>
        </m:oMath>
      </m:oMathPara>
    </w:p>
    <w:p>
      <w:pPr>
        <w:pStyle w:val="18"/>
        <w:ind w:left="1620" w:firstLine="0" w:firstLineChars="0"/>
        <w:rPr>
          <w:rFonts w:hint="eastAsia"/>
          <w:vertAlign w:val="subscript"/>
        </w:rPr>
      </w:pPr>
    </w:p>
    <w:p>
      <w:pPr>
        <w:ind w:left="1620" w:firstLine="420"/>
      </w:pPr>
      <w:r>
        <w:rPr>
          <w:rFonts w:hint="eastAsia"/>
        </w:rPr>
        <w:t>由于工作电流I</w:t>
      </w:r>
      <w:r>
        <w:rPr>
          <w:vertAlign w:val="subscript"/>
        </w:rPr>
        <w:t>p</w:t>
      </w:r>
      <w:r>
        <w:rPr>
          <w:rFonts w:hint="eastAsia"/>
        </w:rPr>
        <w:t>是恒定的, 可将补偿电阻R</w:t>
      </w:r>
      <w:r>
        <w:rPr>
          <w:rFonts w:hint="eastAsia"/>
          <w:vertAlign w:val="subscript"/>
        </w:rPr>
        <w:t>k</w:t>
      </w:r>
      <w:r>
        <w:rPr>
          <w:rFonts w:hint="eastAsia"/>
        </w:rPr>
        <w:t>的不同取值标定成相应的输出电压值.</w:t>
      </w:r>
      <w:r>
        <w:t xml:space="preserve"> </w:t>
      </w:r>
      <w:r>
        <w:rPr>
          <w:rFonts w:hint="eastAsia"/>
        </w:rPr>
        <w:t>UJ33a型直流电位差计是按I</w:t>
      </w:r>
      <w:r>
        <w:rPr>
          <w:rFonts w:hint="eastAsia"/>
          <w:vertAlign w:val="subscript"/>
        </w:rPr>
        <w:t>p</w:t>
      </w:r>
      <w:r>
        <w:t xml:space="preserve"> </w:t>
      </w:r>
      <w:r>
        <w:rPr>
          <w:rFonts w:hint="eastAsia"/>
        </w:rPr>
        <w:t>=</w:t>
      </w:r>
      <w:r>
        <w:t xml:space="preserve"> </w:t>
      </w:r>
      <w:r>
        <w:rPr>
          <w:rFonts w:hint="eastAsia"/>
        </w:rPr>
        <w:t>10mA标定的, 因此我们可以从电位差计读取其输出电压.</w:t>
      </w:r>
      <w:r>
        <w:t xml:space="preserve"> </w:t>
      </w:r>
      <w:r>
        <w:rPr>
          <w:rFonts w:hint="eastAsia"/>
        </w:rPr>
        <w:t>在测量档位达到补偿状态时, 这个电压值就是E</w:t>
      </w:r>
      <w:r>
        <w:rPr>
          <w:rFonts w:hint="eastAsia"/>
          <w:vertAlign w:val="subscript"/>
        </w:rPr>
        <w:t>x</w:t>
      </w:r>
      <w:r>
        <w:rPr>
          <w:rFonts w:hint="eastAsia"/>
        </w:rPr>
        <w:t xml:space="preserve">. </w:t>
      </w:r>
    </w:p>
    <w:p>
      <w:pPr>
        <w:ind w:left="1620" w:firstLine="420"/>
      </w:pPr>
    </w:p>
    <w:p>
      <w:pPr>
        <w:ind w:left="1620" w:firstLine="420"/>
      </w:pPr>
      <w:r>
        <w:rPr>
          <w:rFonts w:hint="eastAsia"/>
        </w:rPr>
        <w:t>由上述(</w:t>
      </w:r>
      <w:r>
        <w:t>2)(3)</w:t>
      </w:r>
      <w:r>
        <w:rPr>
          <w:rFonts w:hint="eastAsia"/>
        </w:rPr>
        <w:t>两个式子可知, 被测电动势测量结果的准确性依赖于标准电池的电动势及测量回路的精度, 由于标准电池及电阻通常具有较高的准确性, 在使用高灵敏度检流计的条件下, 能保证较高的测量精度.</w:t>
      </w:r>
      <w:r>
        <w:t xml:space="preserve"> </w:t>
      </w:r>
      <w:r>
        <w:rPr>
          <w:rFonts w:hint="eastAsia"/>
        </w:rPr>
        <w:t>另外, 当完全补偿时, 测量电路与被测电路无电流通过, 因此被测电路电动势不会因接入测量电路而改变, 从而避免由此产生的系统误差.</w:t>
      </w:r>
      <w:r>
        <w:t xml:space="preserve"> </w:t>
      </w:r>
    </w:p>
    <w:p>
      <w:pPr>
        <w:pStyle w:val="9"/>
        <w:keepNext/>
      </w:pPr>
      <w:r>
        <w:drawing>
          <wp:inline distT="0" distB="0" distL="0" distR="0">
            <wp:extent cx="3702050" cy="2228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06834" cy="2231846"/>
                    </a:xfrm>
                    <a:prstGeom prst="rect">
                      <a:avLst/>
                    </a:prstGeom>
                    <a:noFill/>
                    <a:ln>
                      <a:noFill/>
                    </a:ln>
                  </pic:spPr>
                </pic:pic>
              </a:graphicData>
            </a:graphic>
          </wp:inline>
        </w:drawing>
      </w:r>
    </w:p>
    <w:p>
      <w:pPr>
        <w:pStyle w:val="3"/>
        <w:jc w:val="center"/>
        <w:rPr>
          <w:sz w:val="18"/>
          <w:szCs w:val="18"/>
        </w:rPr>
      </w:pPr>
      <w:r>
        <w:rPr>
          <w:sz w:val="18"/>
          <w:szCs w:val="18"/>
        </w:rPr>
        <w:t>图2 UJ33a</w:t>
      </w:r>
      <w:r>
        <w:rPr>
          <w:rFonts w:hint="eastAsia"/>
          <w:sz w:val="18"/>
          <w:szCs w:val="18"/>
        </w:rPr>
        <w:t>的内部电路结构</w:t>
      </w:r>
    </w:p>
    <w:p>
      <w:pPr>
        <w:pStyle w:val="2"/>
        <w:rPr>
          <w:sz w:val="36"/>
          <w:szCs w:val="36"/>
        </w:rPr>
      </w:pPr>
      <w:r>
        <w:rPr>
          <w:rFonts w:hint="eastAsia"/>
          <w:sz w:val="36"/>
          <w:szCs w:val="36"/>
        </w:rPr>
        <w:t>实验仪器</w:t>
      </w:r>
    </w:p>
    <w:p>
      <w:pPr>
        <w:pStyle w:val="18"/>
        <w:numPr>
          <w:ilvl w:val="0"/>
          <w:numId w:val="5"/>
        </w:numPr>
        <w:ind w:firstLineChars="0"/>
      </w:pPr>
      <w:r>
        <w:rPr>
          <w:rFonts w:hint="eastAsia"/>
        </w:rPr>
        <w:t>UJ</w:t>
      </w:r>
      <w:r>
        <w:t>33a</w:t>
      </w:r>
      <w:r>
        <w:rPr>
          <w:rFonts w:hint="eastAsia"/>
        </w:rPr>
        <w:t>电位差计</w:t>
      </w:r>
    </w:p>
    <w:p>
      <w:pPr>
        <w:pStyle w:val="18"/>
        <w:ind w:left="780" w:firstLine="0" w:firstLineChars="0"/>
        <w:rPr>
          <w:rFonts w:hint="eastAsia"/>
        </w:rPr>
      </w:pPr>
    </w:p>
    <w:p>
      <w:pPr>
        <w:ind w:left="360" w:firstLine="420"/>
      </w:pPr>
      <w:r>
        <w:rPr>
          <w:rFonts w:hint="eastAsia"/>
        </w:rPr>
        <w:t>电位差计操作面板如图3</w:t>
      </w:r>
      <w:r>
        <w:t>-1</w:t>
      </w:r>
      <w:r>
        <w:rPr>
          <w:rFonts w:hint="eastAsia"/>
        </w:rPr>
        <w:t>所示,</w:t>
      </w:r>
      <w:r>
        <w:t xml:space="preserve"> </w:t>
      </w:r>
    </w:p>
    <w:p>
      <w:pPr>
        <w:ind w:left="360" w:firstLine="420"/>
      </w:pPr>
    </w:p>
    <w:p>
      <w:pPr>
        <w:pStyle w:val="18"/>
        <w:numPr>
          <w:ilvl w:val="0"/>
          <w:numId w:val="6"/>
        </w:numPr>
        <w:ind w:firstLineChars="0"/>
      </w:pPr>
      <w:r>
        <w:t>“</w:t>
      </w:r>
      <w:r>
        <w:rPr>
          <w:rFonts w:hint="eastAsia"/>
        </w:rPr>
        <w:t>未知</w:t>
      </w:r>
      <w:r>
        <w:t xml:space="preserve">”: </w:t>
      </w:r>
      <w:r>
        <w:rPr>
          <w:rFonts w:hint="eastAsia"/>
        </w:rPr>
        <w:t>电位差计的测量端, 将未知电动势的高电位接在</w:t>
      </w:r>
      <w:r>
        <w:t>“ + ”</w:t>
      </w:r>
      <w:r>
        <w:rPr>
          <w:rFonts w:hint="eastAsia"/>
        </w:rPr>
        <w:t>接线柱, 低电位接在</w:t>
      </w:r>
      <w:r>
        <w:t>“ - ”</w:t>
      </w:r>
      <w:r>
        <w:rPr>
          <w:rFonts w:hint="eastAsia"/>
        </w:rPr>
        <w:t xml:space="preserve">接线柱. </w:t>
      </w:r>
    </w:p>
    <w:p>
      <w:pPr>
        <w:pStyle w:val="18"/>
        <w:numPr>
          <w:ilvl w:val="0"/>
          <w:numId w:val="6"/>
        </w:numPr>
        <w:ind w:firstLineChars="0"/>
      </w:pPr>
      <w:r>
        <w:rPr>
          <w:rFonts w:hint="eastAsia"/>
        </w:rPr>
        <w:t>倍率开关</w:t>
      </w:r>
      <w:r>
        <w:t>“</w:t>
      </w:r>
      <w:r>
        <w:rPr>
          <w:rFonts w:hint="eastAsia"/>
        </w:rPr>
        <w:t>K1</w:t>
      </w:r>
      <w:r>
        <w:t>”</w:t>
      </w:r>
      <w:r>
        <w:rPr>
          <w:rFonts w:hint="eastAsia"/>
        </w:rPr>
        <w:t>:</w:t>
      </w:r>
      <w:r>
        <w:t xml:space="preserve"> </w:t>
      </w:r>
      <w:r>
        <w:rPr>
          <w:rFonts w:hint="eastAsia"/>
        </w:rPr>
        <w:t>倍率值乘以电压输出调节盘的读数等于电位差计的电压输出. 测量回路处于补偿状态时, 这个值等于E</w:t>
      </w:r>
      <w:r>
        <w:rPr>
          <w:rFonts w:hint="eastAsia"/>
          <w:vertAlign w:val="subscript"/>
        </w:rPr>
        <w:t>x</w:t>
      </w:r>
      <w:r>
        <w:rPr>
          <w:rFonts w:hint="eastAsia"/>
        </w:rPr>
        <w:t xml:space="preserve">的值. </w:t>
      </w:r>
    </w:p>
    <w:p>
      <w:pPr>
        <w:pStyle w:val="18"/>
        <w:numPr>
          <w:ilvl w:val="0"/>
          <w:numId w:val="6"/>
        </w:numPr>
        <w:ind w:firstLineChars="0"/>
      </w:pPr>
      <w:r>
        <w:t>“</w:t>
      </w:r>
      <w:r>
        <w:rPr>
          <w:rFonts w:hint="eastAsia"/>
        </w:rPr>
        <w:t>调零</w:t>
      </w:r>
      <w:r>
        <w:t xml:space="preserve">”: </w:t>
      </w:r>
      <w:r>
        <w:rPr>
          <w:rFonts w:hint="eastAsia"/>
        </w:rPr>
        <w:t>在电位差计电源开启, 且K2开关处于开路状态时, 若检流计指针未指零, 可以用</w:t>
      </w:r>
      <w:r>
        <w:t>“</w:t>
      </w:r>
      <w:r>
        <w:rPr>
          <w:rFonts w:hint="eastAsia"/>
        </w:rPr>
        <w:t>调零</w:t>
      </w:r>
      <w:r>
        <w:t>”</w:t>
      </w:r>
      <w:r>
        <w:rPr>
          <w:rFonts w:hint="eastAsia"/>
        </w:rPr>
        <w:t xml:space="preserve">旋钮调节使其指零. </w:t>
      </w:r>
    </w:p>
    <w:p>
      <w:pPr>
        <w:pStyle w:val="18"/>
        <w:numPr>
          <w:ilvl w:val="0"/>
          <w:numId w:val="6"/>
        </w:numPr>
        <w:ind w:firstLineChars="0"/>
        <w:rPr>
          <w:rFonts w:hint="eastAsia"/>
        </w:rPr>
      </w:pPr>
      <w:r>
        <w:rPr>
          <w:rFonts w:hint="eastAsia"/>
        </w:rPr>
        <w:t>开关</w:t>
      </w:r>
      <w:r>
        <w:t>“</w:t>
      </w:r>
      <w:r>
        <w:rPr>
          <w:rFonts w:hint="eastAsia"/>
        </w:rPr>
        <w:t>K3</w:t>
      </w:r>
      <w:r>
        <w:t xml:space="preserve">”: </w:t>
      </w:r>
      <w:r>
        <w:rPr>
          <w:rFonts w:hint="eastAsia"/>
        </w:rPr>
        <w:t>当其置于</w:t>
      </w:r>
      <w:r>
        <w:t>“</w:t>
      </w:r>
      <w:r>
        <w:rPr>
          <w:rFonts w:hint="eastAsia"/>
        </w:rPr>
        <w:t>输出</w:t>
      </w:r>
      <w:r>
        <w:t>”</w:t>
      </w:r>
      <w:r>
        <w:rPr>
          <w:rFonts w:hint="eastAsia"/>
        </w:rPr>
        <w:t>挡时, 电位差计内部的检流计不接入电路, 电位差计可作为电压输出装置;</w:t>
      </w:r>
      <w:r>
        <w:t xml:space="preserve"> </w:t>
      </w:r>
      <w:r>
        <w:rPr>
          <w:rFonts w:hint="eastAsia"/>
        </w:rPr>
        <w:t>当其置于</w:t>
      </w:r>
      <w:r>
        <w:t>“</w:t>
      </w:r>
      <w:r>
        <w:rPr>
          <w:rFonts w:hint="eastAsia"/>
        </w:rPr>
        <w:t>测量</w:t>
      </w:r>
      <w:r>
        <w:t>”</w:t>
      </w:r>
      <w:r>
        <w:rPr>
          <w:rFonts w:hint="eastAsia"/>
        </w:rPr>
        <w:t xml:space="preserve">挡时, 内部的检流计接入电路, 电位差计用于测量外部电压. </w:t>
      </w:r>
    </w:p>
    <w:p>
      <w:pPr>
        <w:pStyle w:val="9"/>
        <w:keepNext/>
      </w:pPr>
      <w:r>
        <w:drawing>
          <wp:inline distT="0" distB="0" distL="0" distR="0">
            <wp:extent cx="2785745" cy="1960880"/>
            <wp:effectExtent l="0" t="0" r="0" b="1270"/>
            <wp:docPr id="12392" name="图片 1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 name="图片 123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98775" cy="1969806"/>
                    </a:xfrm>
                    <a:prstGeom prst="rect">
                      <a:avLst/>
                    </a:prstGeom>
                    <a:noFill/>
                    <a:ln>
                      <a:noFill/>
                    </a:ln>
                  </pic:spPr>
                </pic:pic>
              </a:graphicData>
            </a:graphic>
          </wp:inline>
        </w:drawing>
      </w:r>
    </w:p>
    <w:p>
      <w:pPr>
        <w:pStyle w:val="3"/>
        <w:jc w:val="center"/>
        <w:rPr>
          <w:sz w:val="18"/>
          <w:szCs w:val="18"/>
        </w:rPr>
      </w:pPr>
      <w:r>
        <w:rPr>
          <w:rFonts w:hint="eastAsia"/>
          <w:sz w:val="18"/>
          <w:szCs w:val="18"/>
        </w:rPr>
        <w:t xml:space="preserve">图 </w:t>
      </w:r>
      <w:r>
        <w:rPr>
          <w:sz w:val="18"/>
          <w:szCs w:val="18"/>
        </w:rPr>
        <w:t>3</w:t>
      </w:r>
      <w:r>
        <w:rPr>
          <w:rFonts w:hint="eastAsia"/>
          <w:sz w:val="18"/>
          <w:szCs w:val="18"/>
          <w:lang w:val="en-US" w:eastAsia="zh-CN"/>
        </w:rPr>
        <w:t xml:space="preserve"> </w:t>
      </w:r>
      <w:r>
        <w:rPr>
          <w:rFonts w:hint="eastAsia"/>
          <w:sz w:val="18"/>
          <w:szCs w:val="18"/>
        </w:rPr>
        <w:t>UJ</w:t>
      </w:r>
      <w:r>
        <w:rPr>
          <w:sz w:val="18"/>
          <w:szCs w:val="18"/>
        </w:rPr>
        <w:t>33</w:t>
      </w:r>
      <w:r>
        <w:rPr>
          <w:rFonts w:hint="eastAsia"/>
          <w:sz w:val="18"/>
          <w:szCs w:val="18"/>
        </w:rPr>
        <w:t>a操作面板</w:t>
      </w:r>
    </w:p>
    <w:p>
      <w:pPr>
        <w:rPr>
          <w:rFonts w:hint="eastAsia"/>
        </w:rPr>
      </w:pPr>
    </w:p>
    <w:p>
      <w:pPr>
        <w:pStyle w:val="18"/>
        <w:numPr>
          <w:ilvl w:val="0"/>
          <w:numId w:val="6"/>
        </w:numPr>
        <w:ind w:firstLineChars="0"/>
      </w:pPr>
      <w:r>
        <w:t>“</w:t>
      </w:r>
      <w:r>
        <w:rPr>
          <w:rFonts w:hint="eastAsia"/>
        </w:rPr>
        <w:t>工作电流调节</w:t>
      </w:r>
      <w:r>
        <w:t xml:space="preserve">”: </w:t>
      </w:r>
      <w:r>
        <w:rPr>
          <w:rFonts w:hint="eastAsia"/>
        </w:rPr>
        <w:t>相当于工作电流调节电阻R</w:t>
      </w:r>
      <w:r>
        <w:rPr>
          <w:rFonts w:hint="eastAsia"/>
          <w:vertAlign w:val="subscript"/>
        </w:rPr>
        <w:t>p</w:t>
      </w:r>
      <w:r>
        <w:rPr>
          <w:rFonts w:hint="eastAsia"/>
        </w:rPr>
        <w:t>, 当</w:t>
      </w:r>
      <w:r>
        <w:t>“</w:t>
      </w:r>
      <w:r>
        <w:rPr>
          <w:rFonts w:hint="eastAsia"/>
        </w:rPr>
        <w:t>K2</w:t>
      </w:r>
      <w:r>
        <w:t>”</w:t>
      </w:r>
      <w:r>
        <w:rPr>
          <w:rFonts w:hint="eastAsia"/>
        </w:rPr>
        <w:t>置于</w:t>
      </w:r>
      <w:r>
        <w:t>“</w:t>
      </w:r>
      <w:r>
        <w:rPr>
          <w:rFonts w:hint="eastAsia"/>
        </w:rPr>
        <w:t>标准</w:t>
      </w:r>
      <w:r>
        <w:t>”</w:t>
      </w:r>
      <w:r>
        <w:rPr>
          <w:rFonts w:hint="eastAsia"/>
        </w:rPr>
        <w:t>挡时, 旋动</w:t>
      </w:r>
      <w:r>
        <w:t>“</w:t>
      </w:r>
      <w:r>
        <w:rPr>
          <w:rFonts w:hint="eastAsia"/>
        </w:rPr>
        <w:t>工作电流调节</w:t>
      </w:r>
      <w:r>
        <w:t>”</w:t>
      </w:r>
      <w:r>
        <w:rPr>
          <w:rFonts w:hint="eastAsia"/>
        </w:rPr>
        <w:t xml:space="preserve">旋钮, 使检流计回零, 此时工作电流被校准为10mA. </w:t>
      </w:r>
    </w:p>
    <w:p>
      <w:pPr>
        <w:pStyle w:val="18"/>
        <w:numPr>
          <w:ilvl w:val="0"/>
          <w:numId w:val="6"/>
        </w:numPr>
        <w:ind w:firstLineChars="0"/>
      </w:pPr>
      <w:r>
        <w:rPr>
          <w:rFonts w:hint="eastAsia"/>
        </w:rPr>
        <w:t>开关</w:t>
      </w:r>
      <w:r>
        <w:t>“</w:t>
      </w:r>
      <w:r>
        <w:rPr>
          <w:rFonts w:hint="eastAsia"/>
        </w:rPr>
        <w:t>K2</w:t>
      </w:r>
      <w:r>
        <w:t>”</w:t>
      </w:r>
      <w:r>
        <w:rPr>
          <w:rFonts w:hint="eastAsia"/>
        </w:rPr>
        <w:t>:</w:t>
      </w:r>
      <w:r>
        <w:t xml:space="preserve"> </w:t>
      </w:r>
      <w:r>
        <w:rPr>
          <w:rFonts w:hint="eastAsia"/>
        </w:rPr>
        <w:t>当K2置于</w:t>
      </w:r>
      <w:r>
        <w:t>“</w:t>
      </w:r>
      <w:r>
        <w:rPr>
          <w:rFonts w:hint="eastAsia"/>
        </w:rPr>
        <w:t>校准</w:t>
      </w:r>
      <w:r>
        <w:t>”</w:t>
      </w:r>
      <w:r>
        <w:rPr>
          <w:rFonts w:hint="eastAsia"/>
        </w:rPr>
        <w:t>挡, 则接通了校准回路, 调节</w:t>
      </w:r>
      <w:r>
        <w:t>“</w:t>
      </w:r>
      <w:r>
        <w:rPr>
          <w:rFonts w:hint="eastAsia"/>
        </w:rPr>
        <w:t>工作电流调节</w:t>
      </w:r>
      <w:r>
        <w:t>”</w:t>
      </w:r>
      <w:r>
        <w:rPr>
          <w:rFonts w:hint="eastAsia"/>
        </w:rPr>
        <w:t>旋钮, 可将工作电流校准为10mA;</w:t>
      </w:r>
      <w:r>
        <w:t xml:space="preserve"> </w:t>
      </w:r>
      <w:r>
        <w:rPr>
          <w:rFonts w:hint="eastAsia"/>
        </w:rPr>
        <w:t>当K2置于</w:t>
      </w:r>
      <w:r>
        <w:t>“</w:t>
      </w:r>
      <w:r>
        <w:rPr>
          <w:rFonts w:hint="eastAsia"/>
        </w:rPr>
        <w:t>测量</w:t>
      </w:r>
      <w:r>
        <w:t>”</w:t>
      </w:r>
      <w:r>
        <w:rPr>
          <w:rFonts w:hint="eastAsia"/>
        </w:rPr>
        <w:t xml:space="preserve">挡, 则接通了测量回路, 用于测量. </w:t>
      </w:r>
    </w:p>
    <w:p>
      <w:pPr>
        <w:pStyle w:val="18"/>
        <w:numPr>
          <w:ilvl w:val="0"/>
          <w:numId w:val="6"/>
        </w:numPr>
        <w:ind w:firstLineChars="0"/>
      </w:pPr>
      <w:r>
        <w:rPr>
          <w:rFonts w:hint="eastAsia"/>
        </w:rPr>
        <w:t>测量读数盘(Ⅰ,</w:t>
      </w:r>
      <w:r>
        <w:t xml:space="preserve"> </w:t>
      </w:r>
      <w:r>
        <w:rPr>
          <w:rFonts w:hint="eastAsia"/>
        </w:rPr>
        <w:t>Ⅱ,</w:t>
      </w:r>
      <w:r>
        <w:t xml:space="preserve"> </w:t>
      </w:r>
      <w:r>
        <w:rPr>
          <w:rFonts w:hint="eastAsia"/>
        </w:rPr>
        <w:t>Ⅲ):</w:t>
      </w:r>
      <w:r>
        <w:t xml:space="preserve"> </w:t>
      </w:r>
      <w:r>
        <w:rPr>
          <w:rFonts w:hint="eastAsia"/>
        </w:rPr>
        <w:t>就是补偿电阻R</w:t>
      </w:r>
      <w:r>
        <w:rPr>
          <w:rFonts w:hint="eastAsia"/>
          <w:vertAlign w:val="subscript"/>
        </w:rPr>
        <w:t>k</w:t>
      </w:r>
      <w:r>
        <w:rPr>
          <w:rFonts w:hint="eastAsia"/>
        </w:rPr>
        <w:t>, 已按工作电流I</w:t>
      </w:r>
      <w:r>
        <w:rPr>
          <w:rFonts w:hint="eastAsia"/>
          <w:vertAlign w:val="subscript"/>
        </w:rPr>
        <w:t>p</w:t>
      </w:r>
      <w:r>
        <w:rPr>
          <w:rFonts w:hint="eastAsia"/>
        </w:rPr>
        <w:t>=10mA将各阻值的位置标成相应的电压.</w:t>
      </w:r>
    </w:p>
    <w:p>
      <w:pPr>
        <w:pStyle w:val="18"/>
        <w:ind w:left="1140" w:firstLine="0" w:firstLineChars="0"/>
      </w:pPr>
    </w:p>
    <w:p>
      <w:pPr>
        <w:pStyle w:val="18"/>
        <w:numPr>
          <w:ilvl w:val="0"/>
          <w:numId w:val="5"/>
        </w:numPr>
        <w:ind w:firstLineChars="0"/>
      </w:pPr>
      <w:r>
        <w:rPr>
          <w:rFonts w:hint="eastAsia"/>
        </w:rPr>
        <w:t xml:space="preserve">直流稳压电源 </w:t>
      </w:r>
      <w:r>
        <w:t>0 ~ 15</w:t>
      </w:r>
      <w:r>
        <w:rPr>
          <w:rFonts w:hint="eastAsia"/>
        </w:rPr>
        <w:t>V</w:t>
      </w:r>
    </w:p>
    <w:p>
      <w:pPr>
        <w:pStyle w:val="18"/>
        <w:ind w:left="780" w:firstLine="0" w:firstLineChars="0"/>
        <w:rPr>
          <w:rFonts w:hint="eastAsia"/>
        </w:rPr>
      </w:pPr>
    </w:p>
    <w:p>
      <w:pPr>
        <w:pStyle w:val="18"/>
        <w:numPr>
          <w:ilvl w:val="0"/>
          <w:numId w:val="5"/>
        </w:numPr>
        <w:ind w:firstLineChars="0"/>
      </w:pPr>
      <w:r>
        <w:rPr>
          <w:rFonts w:hint="eastAsia"/>
        </w:rPr>
        <w:t xml:space="preserve">标准电阻 </w:t>
      </w:r>
      <w:r>
        <w:t>100</w:t>
      </w:r>
      <w:r>
        <w:rPr>
          <w:rFonts w:hint="eastAsia"/>
        </w:rPr>
        <w:t>Ω</w:t>
      </w:r>
    </w:p>
    <w:p>
      <w:pPr>
        <w:rPr>
          <w:rFonts w:hint="eastAsia"/>
        </w:rPr>
      </w:pPr>
    </w:p>
    <w:p>
      <w:pPr>
        <w:pStyle w:val="18"/>
        <w:numPr>
          <w:ilvl w:val="0"/>
          <w:numId w:val="5"/>
        </w:numPr>
        <w:ind w:firstLineChars="0"/>
      </w:pPr>
      <w:r>
        <w:rPr>
          <w:rFonts w:hint="eastAsia"/>
        </w:rPr>
        <w:t xml:space="preserve">毫安表 </w:t>
      </w:r>
      <w:r>
        <w:t>0 ~ 1.999 mA</w:t>
      </w:r>
    </w:p>
    <w:p>
      <w:pPr>
        <w:rPr>
          <w:rFonts w:hint="eastAsia"/>
        </w:rPr>
      </w:pPr>
    </w:p>
    <w:p>
      <w:pPr>
        <w:pStyle w:val="18"/>
        <w:numPr>
          <w:ilvl w:val="0"/>
          <w:numId w:val="5"/>
        </w:numPr>
        <w:ind w:firstLineChars="0"/>
        <w:rPr>
          <w:rFonts w:hint="eastAsia"/>
        </w:rPr>
      </w:pPr>
      <w:r>
        <w:rPr>
          <w:rFonts w:hint="eastAsia"/>
        </w:rPr>
        <w:t xml:space="preserve">电阻箱 </w:t>
      </w:r>
      <w:r>
        <w:t>0 ~ 9999</w:t>
      </w:r>
      <w:r>
        <w:rPr>
          <w:rFonts w:hint="eastAsia"/>
        </w:rPr>
        <w:t>Ω</w:t>
      </w:r>
    </w:p>
    <w:p>
      <w:pPr>
        <w:pStyle w:val="2"/>
        <w:rPr>
          <w:sz w:val="36"/>
          <w:szCs w:val="36"/>
        </w:rPr>
      </w:pPr>
      <w:r>
        <w:rPr>
          <w:rFonts w:hint="eastAsia"/>
          <w:sz w:val="36"/>
          <w:szCs w:val="36"/>
        </w:rPr>
        <w:t>实验内容</w:t>
      </w:r>
    </w:p>
    <w:p>
      <w:pPr>
        <w:pStyle w:val="18"/>
        <w:numPr>
          <w:ilvl w:val="0"/>
          <w:numId w:val="7"/>
        </w:numPr>
        <w:ind w:firstLineChars="0"/>
      </w:pPr>
      <w:r>
        <w:rPr>
          <w:rFonts w:hint="eastAsia"/>
          <w:b/>
          <w:bCs/>
        </w:rPr>
        <w:t>使用电位差计校准毫安表</w:t>
      </w:r>
    </w:p>
    <w:p>
      <w:pPr>
        <w:ind w:left="420"/>
      </w:pPr>
    </w:p>
    <w:p>
      <w:pPr>
        <w:ind w:left="420" w:firstLine="420"/>
      </w:pPr>
      <w:r>
        <w:rPr>
          <w:rFonts w:hint="eastAsia"/>
        </w:rPr>
        <w:t>电路连接方式如图4</w:t>
      </w:r>
      <w:r>
        <w:t>-1</w:t>
      </w:r>
      <w:r>
        <w:rPr>
          <w:rFonts w:hint="eastAsia"/>
        </w:rPr>
        <w:t>.</w:t>
      </w:r>
    </w:p>
    <w:p>
      <w:pPr>
        <w:pStyle w:val="7"/>
        <w:keepNext/>
      </w:pPr>
      <w:r>
        <w:drawing>
          <wp:inline distT="0" distB="0" distL="0" distR="0">
            <wp:extent cx="3546475" cy="1625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568650" cy="1635513"/>
                    </a:xfrm>
                    <a:prstGeom prst="rect">
                      <a:avLst/>
                    </a:prstGeom>
                  </pic:spPr>
                </pic:pic>
              </a:graphicData>
            </a:graphic>
          </wp:inline>
        </w:drawing>
      </w:r>
    </w:p>
    <w:p>
      <w:pPr>
        <w:pStyle w:val="3"/>
        <w:jc w:val="center"/>
        <w:rPr>
          <w:rFonts w:hint="eastAsia"/>
          <w:sz w:val="18"/>
          <w:szCs w:val="18"/>
        </w:rPr>
      </w:pPr>
      <w:r>
        <w:rPr>
          <w:rFonts w:hint="eastAsia"/>
          <w:sz w:val="18"/>
          <w:szCs w:val="18"/>
        </w:rPr>
        <w:t>图4 电位差计校准毫安表的电路</w:t>
      </w:r>
    </w:p>
    <w:p>
      <w:pPr>
        <w:pStyle w:val="18"/>
        <w:numPr>
          <w:ilvl w:val="0"/>
          <w:numId w:val="8"/>
        </w:numPr>
        <w:ind w:firstLineChars="0"/>
      </w:pPr>
      <w:r>
        <w:rPr>
          <w:rFonts w:hint="eastAsia"/>
        </w:rPr>
        <w:t>根据实验仪器部分提到的方法,</w:t>
      </w:r>
      <w:r>
        <w:t xml:space="preserve"> </w:t>
      </w:r>
      <w:r>
        <w:rPr>
          <w:rFonts w:hint="eastAsia"/>
        </w:rPr>
        <w:t>校准电位差计.</w:t>
      </w:r>
    </w:p>
    <w:p>
      <w:pPr>
        <w:pStyle w:val="18"/>
        <w:numPr>
          <w:ilvl w:val="0"/>
          <w:numId w:val="8"/>
        </w:numPr>
        <w:ind w:firstLineChars="0"/>
      </w:pPr>
      <w:r>
        <w:rPr>
          <w:rFonts w:hint="eastAsia"/>
        </w:rPr>
        <w:t>调整毫安表示数,</w:t>
      </w:r>
      <w:r>
        <w:t xml:space="preserve"> </w:t>
      </w:r>
      <w:r>
        <w:rPr>
          <w:rFonts w:hint="eastAsia"/>
        </w:rPr>
        <w:t>调整电位差计阻值使电位差接近0</w:t>
      </w:r>
      <w:r>
        <w:t xml:space="preserve">, </w:t>
      </w:r>
      <w:r>
        <w:rPr>
          <w:rFonts w:hint="eastAsia"/>
        </w:rPr>
        <w:t>读数并记录.</w:t>
      </w:r>
    </w:p>
    <w:p>
      <w:pPr>
        <w:pStyle w:val="18"/>
        <w:numPr>
          <w:ilvl w:val="0"/>
          <w:numId w:val="8"/>
        </w:numPr>
        <w:ind w:firstLineChars="0"/>
        <w:rPr>
          <w:rFonts w:hint="eastAsia"/>
        </w:rPr>
      </w:pPr>
      <w:r>
        <w:rPr>
          <w:rFonts w:hint="eastAsia"/>
        </w:rPr>
        <w:t>根据上行和下行方向测量两遍.</w:t>
      </w:r>
    </w:p>
    <w:p>
      <w:pPr>
        <w:pStyle w:val="2"/>
        <w:rPr>
          <w:sz w:val="36"/>
          <w:szCs w:val="36"/>
        </w:rPr>
      </w:pPr>
      <w:r>
        <w:rPr>
          <w:rFonts w:hint="eastAsia"/>
          <w:sz w:val="36"/>
          <w:szCs w:val="36"/>
        </w:rPr>
        <w:t>数据处理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1622"/>
        <w:gridCol w:w="1623"/>
        <w:gridCol w:w="1623"/>
        <w:gridCol w:w="1623"/>
        <w:gridCol w:w="1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restart"/>
          </w:tcPr>
          <w:p>
            <w:pPr>
              <w:jc w:val="center"/>
            </w:pPr>
            <w:r>
              <w:rPr>
                <w:rFonts w:hint="eastAsia"/>
              </w:rPr>
              <w:t>被校刻度值I</w:t>
            </w:r>
          </w:p>
          <w:p>
            <w:pPr>
              <w:jc w:val="center"/>
            </w:pPr>
            <w:r>
              <w:rPr>
                <w:rFonts w:hint="eastAsia"/>
              </w:rPr>
              <w:t>(μA</w:t>
            </w:r>
            <w:r>
              <w:t>)</w:t>
            </w:r>
          </w:p>
        </w:tc>
        <w:tc>
          <w:tcPr>
            <w:tcW w:w="6491" w:type="dxa"/>
            <w:gridSpan w:val="4"/>
          </w:tcPr>
          <w:p>
            <w:pPr>
              <w:jc w:val="center"/>
            </w:pPr>
            <w:r>
              <w:rPr>
                <w:rFonts w:hint="eastAsia"/>
              </w:rPr>
              <w:t>校准值</w:t>
            </w:r>
          </w:p>
        </w:tc>
        <w:tc>
          <w:tcPr>
            <w:tcW w:w="1623" w:type="dxa"/>
            <w:vMerge w:val="restart"/>
          </w:tcPr>
          <w:p>
            <w:pPr>
              <w:jc w:val="center"/>
            </w:pPr>
          </w:p>
          <w:p>
            <w:pPr>
              <w:jc w:val="center"/>
            </w:pPr>
            <w:r>
              <w:rPr>
                <w:rFonts w:hint="eastAsia"/>
              </w:rPr>
              <w:t>ΔI</w:t>
            </w:r>
            <w:r>
              <w:t xml:space="preserve"> = I – I</w:t>
            </w:r>
            <w:r>
              <w:rPr>
                <w:vertAlign w:val="subscript"/>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continue"/>
          </w:tcPr>
          <w:p>
            <w:pPr>
              <w:jc w:val="center"/>
            </w:pPr>
          </w:p>
        </w:tc>
        <w:tc>
          <w:tcPr>
            <w:tcW w:w="1622" w:type="dxa"/>
            <w:vMerge w:val="restart"/>
          </w:tcPr>
          <w:p>
            <w:pPr>
              <w:jc w:val="center"/>
            </w:pPr>
            <w:r>
              <w:rPr>
                <w:rFonts w:hint="eastAsia"/>
              </w:rPr>
              <w:t>上行电压</w:t>
            </w:r>
          </w:p>
          <w:p>
            <w:pPr>
              <w:jc w:val="center"/>
            </w:pPr>
            <w:r>
              <w:rPr>
                <w:rFonts w:hint="eastAsia"/>
              </w:rPr>
              <w:t>(m</w:t>
            </w:r>
            <w:r>
              <w:t>V)</w:t>
            </w:r>
          </w:p>
        </w:tc>
        <w:tc>
          <w:tcPr>
            <w:tcW w:w="1623" w:type="dxa"/>
            <w:vMerge w:val="restart"/>
          </w:tcPr>
          <w:p>
            <w:pPr>
              <w:jc w:val="center"/>
            </w:pPr>
            <w:r>
              <w:rPr>
                <w:rFonts w:hint="eastAsia"/>
              </w:rPr>
              <w:t>下行电压</w:t>
            </w:r>
          </w:p>
          <w:p>
            <w:pPr>
              <w:jc w:val="center"/>
            </w:pPr>
            <w:r>
              <w:rPr>
                <w:rFonts w:hint="eastAsia"/>
              </w:rPr>
              <w:t>(m</w:t>
            </w:r>
            <w:r>
              <w:t>V)</w:t>
            </w:r>
          </w:p>
        </w:tc>
        <w:tc>
          <w:tcPr>
            <w:tcW w:w="3246" w:type="dxa"/>
            <w:gridSpan w:val="2"/>
          </w:tcPr>
          <w:p>
            <w:pPr>
              <w:jc w:val="center"/>
            </w:pPr>
            <w:r>
              <w:rPr>
                <w:rFonts w:hint="eastAsia"/>
              </w:rPr>
              <w:t>平均值</w:t>
            </w:r>
          </w:p>
        </w:tc>
        <w:tc>
          <w:tcPr>
            <w:tcW w:w="1623" w:type="dxa"/>
            <w:vMerge w:val="continue"/>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continue"/>
          </w:tcPr>
          <w:p>
            <w:pPr>
              <w:jc w:val="center"/>
            </w:pPr>
          </w:p>
        </w:tc>
        <w:tc>
          <w:tcPr>
            <w:tcW w:w="1622" w:type="dxa"/>
            <w:vMerge w:val="continue"/>
          </w:tcPr>
          <w:p>
            <w:pPr>
              <w:jc w:val="center"/>
            </w:pPr>
          </w:p>
        </w:tc>
        <w:tc>
          <w:tcPr>
            <w:tcW w:w="1623" w:type="dxa"/>
            <w:vMerge w:val="continue"/>
          </w:tcPr>
          <w:p>
            <w:pPr>
              <w:jc w:val="center"/>
            </w:pPr>
          </w:p>
        </w:tc>
        <w:tc>
          <w:tcPr>
            <w:tcW w:w="1623" w:type="dxa"/>
          </w:tcPr>
          <w:p>
            <w:pPr>
              <w:jc w:val="center"/>
            </w:pPr>
            <w:r>
              <w:rPr>
                <w:rFonts w:hint="eastAsia"/>
              </w:rPr>
              <w:t>电压(</w:t>
            </w:r>
            <w:r>
              <w:t>mV)</w:t>
            </w:r>
          </w:p>
        </w:tc>
        <w:tc>
          <w:tcPr>
            <w:tcW w:w="1623" w:type="dxa"/>
          </w:tcPr>
          <w:p>
            <w:pPr>
              <w:jc w:val="center"/>
            </w:pPr>
            <w:r>
              <w:rPr>
                <w:rFonts w:hint="eastAsia"/>
              </w:rPr>
              <w:t>电流(</w:t>
            </w:r>
            <w:r>
              <w:t>mA)</w:t>
            </w:r>
          </w:p>
        </w:tc>
        <w:tc>
          <w:tcPr>
            <w:tcW w:w="1623" w:type="dxa"/>
            <w:vMerge w:val="continue"/>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2</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4</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6</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8</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000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200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400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rPr>
                <w:rFonts w:hint="eastAsia"/>
              </w:rPr>
            </w:pPr>
            <w:r>
              <w:rPr>
                <w:rFonts w:hint="eastAsia"/>
              </w:rPr>
              <w:t>1</w:t>
            </w:r>
            <w:r>
              <w:t>600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800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999</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bl>
    <w:p/>
    <w:p>
      <w:pPr>
        <w:rPr>
          <w:rFonts w:hint="eastAsia"/>
        </w:rPr>
      </w:pPr>
    </w:p>
    <w:p/>
    <w:p>
      <w:pPr>
        <w:rPr>
          <w:rFonts w:hint="eastAsia"/>
        </w:rPr>
      </w:pPr>
    </w:p>
    <w:tbl>
      <w:tblPr>
        <w:tblStyle w:val="10"/>
        <w:tblW w:w="9600" w:type="dxa"/>
        <w:tblInd w:w="0" w:type="dxa"/>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Layout w:type="autofit"/>
        <w:tblCellMar>
          <w:top w:w="0" w:type="dxa"/>
          <w:left w:w="108" w:type="dxa"/>
          <w:bottom w:w="0" w:type="dxa"/>
          <w:right w:w="108" w:type="dxa"/>
        </w:tblCellMar>
      </w:tblPr>
      <w:tblGrid>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tblGrid>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r>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rPr>
          <w:trHeight w:val="282" w:hRule="atLeast"/>
        </w:trPr>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300" w:type="dxa"/>
            <w:shd w:val="clear" w:color="auto" w:fill="auto"/>
            <w:noWrap/>
            <w:vAlign w:val="center"/>
          </w:tcPr>
          <w:p>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r>
    </w:tbl>
    <w:p>
      <w:pPr>
        <w:rPr>
          <w:rFonts w:hint="eastAsia"/>
        </w:rPr>
      </w:pPr>
    </w:p>
    <w:p>
      <w:pPr>
        <w:pStyle w:val="2"/>
        <w:rPr>
          <w:sz w:val="36"/>
          <w:szCs w:val="36"/>
        </w:rPr>
      </w:pPr>
      <w:r>
        <w:rPr>
          <w:rFonts w:hint="eastAsia"/>
          <w:sz w:val="36"/>
          <w:szCs w:val="36"/>
        </w:rPr>
        <w:t>结果陈述</w:t>
      </w:r>
    </w:p>
    <w:p/>
    <w:p/>
    <w:p/>
    <w:p/>
    <w:p/>
    <w:p/>
    <w:p/>
    <w:p/>
    <w:p/>
    <w:p/>
    <w:p>
      <w:pPr>
        <w:rPr>
          <w:rFonts w:hint="eastAsia"/>
        </w:rPr>
      </w:pPr>
    </w:p>
    <w:p>
      <w:pPr>
        <w:rPr>
          <w:rFonts w:hint="eastAsia"/>
        </w:rPr>
      </w:pPr>
    </w:p>
    <w:p>
      <w:pPr>
        <w:pStyle w:val="2"/>
        <w:rPr>
          <w:sz w:val="36"/>
          <w:szCs w:val="36"/>
        </w:rPr>
      </w:pPr>
      <w:r>
        <w:rPr>
          <w:rFonts w:hint="eastAsia"/>
          <w:sz w:val="36"/>
          <w:szCs w:val="36"/>
        </w:rPr>
        <w:t>实验总结</w:t>
      </w:r>
    </w:p>
    <w:p/>
    <w:p/>
    <w:p/>
    <w:p/>
    <w:p/>
    <w:p/>
    <w:p/>
    <w:p/>
    <w:p/>
    <w:p/>
    <w:p/>
    <w:p/>
    <w:p>
      <w:pPr>
        <w:rPr>
          <w:rFonts w:hint="eastAsia"/>
        </w:rPr>
      </w:pPr>
    </w:p>
    <w:p/>
    <w:tbl>
      <w:tblPr>
        <w:tblStyle w:val="10"/>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5" w:hRule="atLeast"/>
        </w:trPr>
        <w:tc>
          <w:tcPr>
            <w:tcW w:w="9720" w:type="dxa"/>
          </w:tcPr>
          <w:p>
            <w:r>
              <w:rPr>
                <w:rFonts w:hint="eastAsia"/>
              </w:rPr>
              <w:t>成绩评定：</w:t>
            </w:r>
          </w:p>
          <w:p>
            <w:r>
              <w:rPr>
                <w:rFonts w:hint="eastAsia"/>
              </w:rPr>
              <w:t xml:space="preserve">                                                                                              </w:t>
            </w:r>
          </w:p>
          <w:tbl>
            <w:tblPr>
              <w:tblStyle w:val="10"/>
              <w:tblW w:w="8610" w:type="dxa"/>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1260"/>
              <w:gridCol w:w="2520"/>
              <w:gridCol w:w="1080"/>
              <w:gridCol w:w="162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70" w:type="dxa"/>
                  <w:shd w:val="clear" w:color="auto" w:fill="auto"/>
                  <w:vAlign w:val="center"/>
                </w:tcPr>
                <w:p>
                  <w:pPr>
                    <w:jc w:val="center"/>
                    <w:rPr>
                      <w:b/>
                      <w:sz w:val="18"/>
                      <w:szCs w:val="18"/>
                    </w:rPr>
                  </w:pPr>
                  <w:r>
                    <w:rPr>
                      <w:rFonts w:hint="eastAsia"/>
                      <w:b/>
                      <w:sz w:val="18"/>
                      <w:szCs w:val="18"/>
                    </w:rPr>
                    <w:t>预习</w:t>
                  </w:r>
                </w:p>
                <w:p>
                  <w:pPr>
                    <w:jc w:val="center"/>
                    <w:rPr>
                      <w:sz w:val="18"/>
                      <w:szCs w:val="18"/>
                    </w:rPr>
                  </w:pPr>
                  <w:r>
                    <w:rPr>
                      <w:rFonts w:hint="eastAsia"/>
                      <w:sz w:val="18"/>
                      <w:szCs w:val="18"/>
                    </w:rPr>
                    <w:t>（20分）</w:t>
                  </w:r>
                </w:p>
              </w:tc>
              <w:tc>
                <w:tcPr>
                  <w:tcW w:w="1260" w:type="dxa"/>
                  <w:shd w:val="clear" w:color="auto" w:fill="auto"/>
                  <w:vAlign w:val="center"/>
                </w:tcPr>
                <w:p>
                  <w:pPr>
                    <w:jc w:val="center"/>
                    <w:rPr>
                      <w:b/>
                      <w:sz w:val="18"/>
                      <w:szCs w:val="18"/>
                    </w:rPr>
                  </w:pPr>
                  <w:r>
                    <w:rPr>
                      <w:rFonts w:hint="eastAsia"/>
                      <w:b/>
                      <w:sz w:val="18"/>
                      <w:szCs w:val="18"/>
                    </w:rPr>
                    <w:t>操作及记录</w:t>
                  </w:r>
                </w:p>
                <w:p>
                  <w:pPr>
                    <w:jc w:val="center"/>
                    <w:rPr>
                      <w:sz w:val="18"/>
                      <w:szCs w:val="18"/>
                    </w:rPr>
                  </w:pPr>
                  <w:r>
                    <w:rPr>
                      <w:rFonts w:hint="eastAsia"/>
                      <w:sz w:val="18"/>
                      <w:szCs w:val="18"/>
                    </w:rPr>
                    <w:t>（40分）</w:t>
                  </w:r>
                </w:p>
              </w:tc>
              <w:tc>
                <w:tcPr>
                  <w:tcW w:w="2520" w:type="dxa"/>
                  <w:tcBorders>
                    <w:bottom w:val="nil"/>
                    <w:right w:val="single" w:color="auto" w:sz="4" w:space="0"/>
                  </w:tcBorders>
                  <w:shd w:val="clear" w:color="auto" w:fill="auto"/>
                  <w:vAlign w:val="center"/>
                </w:tcPr>
                <w:p>
                  <w:pPr>
                    <w:rPr>
                      <w:sz w:val="18"/>
                      <w:szCs w:val="18"/>
                    </w:rPr>
                  </w:pPr>
                  <w:r>
                    <w:rPr>
                      <w:rFonts w:hint="eastAsia"/>
                      <w:sz w:val="18"/>
                      <w:szCs w:val="18"/>
                    </w:rPr>
                    <w:t>数据处理与结果陈述30分</w:t>
                  </w:r>
                </w:p>
              </w:tc>
              <w:tc>
                <w:tcPr>
                  <w:tcW w:w="1080" w:type="dxa"/>
                  <w:tcBorders>
                    <w:bottom w:val="nil"/>
                    <w:right w:val="single" w:color="auto" w:sz="4" w:space="0"/>
                  </w:tcBorders>
                  <w:shd w:val="clear" w:color="auto" w:fill="auto"/>
                </w:tcPr>
                <w:p>
                  <w:pPr>
                    <w:ind w:firstLine="180" w:firstLineChars="100"/>
                    <w:rPr>
                      <w:sz w:val="18"/>
                      <w:szCs w:val="18"/>
                    </w:rPr>
                  </w:pPr>
                  <w:r>
                    <w:rPr>
                      <w:rFonts w:hint="eastAsia"/>
                      <w:sz w:val="18"/>
                      <w:szCs w:val="18"/>
                    </w:rPr>
                    <w:t>思考题</w:t>
                  </w:r>
                </w:p>
                <w:p>
                  <w:pPr>
                    <w:jc w:val="center"/>
                    <w:rPr>
                      <w:sz w:val="18"/>
                      <w:szCs w:val="18"/>
                    </w:rPr>
                  </w:pPr>
                  <w:r>
                    <w:rPr>
                      <w:rFonts w:hint="eastAsia"/>
                      <w:sz w:val="18"/>
                      <w:szCs w:val="18"/>
                    </w:rPr>
                    <w:t>10分</w:t>
                  </w:r>
                </w:p>
              </w:tc>
              <w:tc>
                <w:tcPr>
                  <w:tcW w:w="1620" w:type="dxa"/>
                  <w:tcBorders>
                    <w:top w:val="single" w:color="auto" w:sz="4" w:space="0"/>
                    <w:right w:val="single" w:color="auto" w:sz="4" w:space="0"/>
                  </w:tcBorders>
                  <w:shd w:val="clear" w:color="auto" w:fill="auto"/>
                  <w:vAlign w:val="center"/>
                </w:tcPr>
                <w:p>
                  <w:pPr>
                    <w:jc w:val="center"/>
                    <w:rPr>
                      <w:b/>
                      <w:sz w:val="18"/>
                      <w:szCs w:val="18"/>
                    </w:rPr>
                  </w:pPr>
                  <w:r>
                    <w:rPr>
                      <w:rFonts w:hint="eastAsia"/>
                      <w:b/>
                      <w:sz w:val="18"/>
                      <w:szCs w:val="18"/>
                    </w:rPr>
                    <w:t>报告整体</w:t>
                  </w:r>
                </w:p>
                <w:p>
                  <w:pPr>
                    <w:jc w:val="center"/>
                    <w:rPr>
                      <w:b/>
                      <w:sz w:val="18"/>
                      <w:szCs w:val="18"/>
                    </w:rPr>
                  </w:pPr>
                  <w:r>
                    <w:rPr>
                      <w:rFonts w:hint="eastAsia"/>
                      <w:b/>
                      <w:sz w:val="18"/>
                      <w:szCs w:val="18"/>
                    </w:rPr>
                    <w:t>印 象</w:t>
                  </w:r>
                </w:p>
              </w:tc>
              <w:tc>
                <w:tcPr>
                  <w:tcW w:w="1260" w:type="dxa"/>
                  <w:tcBorders>
                    <w:top w:val="single" w:color="auto" w:sz="4" w:space="0"/>
                    <w:right w:val="single" w:color="auto" w:sz="4" w:space="0"/>
                  </w:tcBorders>
                  <w:shd w:val="clear" w:color="auto" w:fill="auto"/>
                  <w:vAlign w:val="center"/>
                </w:tcPr>
                <w:p>
                  <w:pPr>
                    <w:jc w:val="center"/>
                    <w:rPr>
                      <w:b/>
                      <w:sz w:val="18"/>
                      <w:szCs w:val="18"/>
                    </w:rPr>
                  </w:pPr>
                  <w:r>
                    <w:rPr>
                      <w:rFonts w:hint="eastAsia"/>
                      <w:b/>
                      <w:sz w:val="18"/>
                      <w:szCs w:val="18"/>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870" w:type="dxa"/>
                  <w:shd w:val="clear" w:color="auto" w:fill="auto"/>
                </w:tcPr>
                <w:p>
                  <w:pPr>
                    <w:jc w:val="center"/>
                    <w:rPr>
                      <w:sz w:val="18"/>
                      <w:szCs w:val="18"/>
                    </w:rPr>
                  </w:pPr>
                </w:p>
              </w:tc>
              <w:tc>
                <w:tcPr>
                  <w:tcW w:w="1260" w:type="dxa"/>
                  <w:shd w:val="clear" w:color="auto" w:fill="auto"/>
                </w:tcPr>
                <w:p>
                  <w:pPr>
                    <w:jc w:val="center"/>
                    <w:rPr>
                      <w:sz w:val="18"/>
                      <w:szCs w:val="18"/>
                    </w:rPr>
                  </w:pPr>
                </w:p>
              </w:tc>
              <w:tc>
                <w:tcPr>
                  <w:tcW w:w="2520" w:type="dxa"/>
                  <w:tcBorders>
                    <w:right w:val="nil"/>
                  </w:tcBorders>
                  <w:shd w:val="clear" w:color="auto" w:fill="auto"/>
                </w:tcPr>
                <w:p>
                  <w:pPr>
                    <w:jc w:val="center"/>
                    <w:rPr>
                      <w:sz w:val="18"/>
                      <w:szCs w:val="18"/>
                    </w:rPr>
                  </w:pPr>
                </w:p>
              </w:tc>
              <w:tc>
                <w:tcPr>
                  <w:tcW w:w="1080" w:type="dxa"/>
                  <w:tcBorders>
                    <w:right w:val="single" w:color="auto" w:sz="4" w:space="0"/>
                  </w:tcBorders>
                  <w:shd w:val="clear" w:color="auto" w:fill="auto"/>
                </w:tcPr>
                <w:p>
                  <w:pPr>
                    <w:jc w:val="center"/>
                    <w:rPr>
                      <w:sz w:val="18"/>
                      <w:szCs w:val="18"/>
                    </w:rPr>
                  </w:pPr>
                </w:p>
              </w:tc>
              <w:tc>
                <w:tcPr>
                  <w:tcW w:w="1620" w:type="dxa"/>
                  <w:tcBorders>
                    <w:left w:val="single" w:color="auto" w:sz="4" w:space="0"/>
                  </w:tcBorders>
                  <w:shd w:val="clear" w:color="auto" w:fill="auto"/>
                </w:tcPr>
                <w:p>
                  <w:pPr>
                    <w:jc w:val="center"/>
                    <w:rPr>
                      <w:sz w:val="18"/>
                      <w:szCs w:val="18"/>
                    </w:rPr>
                  </w:pPr>
                </w:p>
              </w:tc>
              <w:tc>
                <w:tcPr>
                  <w:tcW w:w="1260" w:type="dxa"/>
                  <w:tcBorders>
                    <w:left w:val="single" w:color="auto" w:sz="4" w:space="0"/>
                  </w:tcBorders>
                  <w:shd w:val="clear" w:color="auto" w:fill="auto"/>
                </w:tcPr>
                <w:p>
                  <w:pPr>
                    <w:jc w:val="center"/>
                    <w:rPr>
                      <w:sz w:val="18"/>
                      <w:szCs w:val="18"/>
                    </w:rPr>
                  </w:pPr>
                </w:p>
              </w:tc>
            </w:tr>
          </w:tbl>
          <w:p>
            <w:r>
              <w:rPr>
                <w:rFonts w:hint="eastAsia"/>
              </w:rPr>
              <w:t xml:space="preserve"> </w:t>
            </w:r>
          </w:p>
        </w:tc>
      </w:tr>
    </w:tbl>
    <w:p>
      <w:pPr>
        <w:rPr>
          <w:rFonts w:hint="eastAsia"/>
        </w:rPr>
      </w:pPr>
    </w:p>
    <w:p>
      <w:pPr>
        <w:rPr>
          <w:rFonts w:hint="eastAsia"/>
        </w:rPr>
      </w:pPr>
    </w:p>
    <w:p>
      <w:pPr>
        <w:rPr>
          <w:rFonts w:hint="eastAsia"/>
        </w:rPr>
      </w:pPr>
    </w:p>
    <w:p>
      <w:pPr>
        <w:pStyle w:val="2"/>
        <w:numPr>
          <w:ilvl w:val="0"/>
          <w:numId w:val="0"/>
        </w:numPr>
        <w:ind w:leftChars="0"/>
        <w:rPr>
          <w:sz w:val="36"/>
          <w:szCs w:val="36"/>
        </w:rPr>
      </w:pPr>
      <w:r>
        <w:rPr>
          <w:rFonts w:hint="eastAsia"/>
          <w:sz w:val="36"/>
          <w:szCs w:val="36"/>
        </w:rPr>
        <w:t>数据记录表格</w:t>
      </w:r>
      <w:bookmarkStart w:id="0" w:name="_GoBack"/>
      <w:bookmarkEnd w:id="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1622"/>
        <w:gridCol w:w="1623"/>
        <w:gridCol w:w="1623"/>
        <w:gridCol w:w="1623"/>
        <w:gridCol w:w="1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restart"/>
          </w:tcPr>
          <w:p>
            <w:pPr>
              <w:jc w:val="center"/>
            </w:pPr>
            <w:r>
              <w:rPr>
                <w:rFonts w:hint="eastAsia"/>
              </w:rPr>
              <w:t>被校刻度值I</w:t>
            </w:r>
          </w:p>
          <w:p>
            <w:pPr>
              <w:jc w:val="center"/>
            </w:pPr>
            <w:r>
              <w:rPr>
                <w:rFonts w:hint="eastAsia"/>
              </w:rPr>
              <w:t>(μA</w:t>
            </w:r>
            <w:r>
              <w:t>)</w:t>
            </w:r>
          </w:p>
        </w:tc>
        <w:tc>
          <w:tcPr>
            <w:tcW w:w="6491" w:type="dxa"/>
            <w:gridSpan w:val="4"/>
          </w:tcPr>
          <w:p>
            <w:pPr>
              <w:jc w:val="center"/>
            </w:pPr>
            <w:r>
              <w:rPr>
                <w:rFonts w:hint="eastAsia"/>
              </w:rPr>
              <w:t>校准值</w:t>
            </w:r>
          </w:p>
        </w:tc>
        <w:tc>
          <w:tcPr>
            <w:tcW w:w="1623" w:type="dxa"/>
            <w:vMerge w:val="restart"/>
          </w:tcPr>
          <w:p>
            <w:pPr>
              <w:jc w:val="center"/>
            </w:pPr>
          </w:p>
          <w:p>
            <w:pPr>
              <w:jc w:val="center"/>
            </w:pPr>
            <w:r>
              <w:rPr>
                <w:rFonts w:hint="eastAsia"/>
              </w:rPr>
              <w:t>ΔI</w:t>
            </w:r>
            <w:r>
              <w:t xml:space="preserve"> = I – I</w:t>
            </w:r>
            <w:r>
              <w:rPr>
                <w:vertAlign w:val="subscript"/>
              </w:rPr>
              <w:t>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continue"/>
          </w:tcPr>
          <w:p>
            <w:pPr>
              <w:jc w:val="center"/>
            </w:pPr>
          </w:p>
        </w:tc>
        <w:tc>
          <w:tcPr>
            <w:tcW w:w="1622" w:type="dxa"/>
            <w:vMerge w:val="restart"/>
          </w:tcPr>
          <w:p>
            <w:pPr>
              <w:jc w:val="center"/>
            </w:pPr>
            <w:r>
              <w:rPr>
                <w:rFonts w:hint="eastAsia"/>
              </w:rPr>
              <w:t>上行电压</w:t>
            </w:r>
          </w:p>
          <w:p>
            <w:pPr>
              <w:jc w:val="center"/>
            </w:pPr>
            <w:r>
              <w:rPr>
                <w:rFonts w:hint="eastAsia"/>
              </w:rPr>
              <w:t>(m</w:t>
            </w:r>
            <w:r>
              <w:t>V)</w:t>
            </w:r>
          </w:p>
        </w:tc>
        <w:tc>
          <w:tcPr>
            <w:tcW w:w="1623" w:type="dxa"/>
            <w:vMerge w:val="restart"/>
          </w:tcPr>
          <w:p>
            <w:pPr>
              <w:jc w:val="center"/>
            </w:pPr>
            <w:r>
              <w:rPr>
                <w:rFonts w:hint="eastAsia"/>
              </w:rPr>
              <w:t>下行电压</w:t>
            </w:r>
          </w:p>
          <w:p>
            <w:pPr>
              <w:jc w:val="center"/>
            </w:pPr>
            <w:r>
              <w:rPr>
                <w:rFonts w:hint="eastAsia"/>
              </w:rPr>
              <w:t>(m</w:t>
            </w:r>
            <w:r>
              <w:t>V)</w:t>
            </w:r>
          </w:p>
        </w:tc>
        <w:tc>
          <w:tcPr>
            <w:tcW w:w="3246" w:type="dxa"/>
            <w:gridSpan w:val="2"/>
          </w:tcPr>
          <w:p>
            <w:pPr>
              <w:jc w:val="center"/>
            </w:pPr>
            <w:r>
              <w:rPr>
                <w:rFonts w:hint="eastAsia"/>
              </w:rPr>
              <w:t>平均值</w:t>
            </w:r>
          </w:p>
        </w:tc>
        <w:tc>
          <w:tcPr>
            <w:tcW w:w="1623" w:type="dxa"/>
            <w:vMerge w:val="continue"/>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vMerge w:val="continue"/>
          </w:tcPr>
          <w:p>
            <w:pPr>
              <w:jc w:val="center"/>
            </w:pPr>
          </w:p>
        </w:tc>
        <w:tc>
          <w:tcPr>
            <w:tcW w:w="1622" w:type="dxa"/>
            <w:vMerge w:val="continue"/>
          </w:tcPr>
          <w:p>
            <w:pPr>
              <w:jc w:val="center"/>
            </w:pPr>
          </w:p>
        </w:tc>
        <w:tc>
          <w:tcPr>
            <w:tcW w:w="1623" w:type="dxa"/>
            <w:vMerge w:val="continue"/>
          </w:tcPr>
          <w:p>
            <w:pPr>
              <w:jc w:val="center"/>
            </w:pPr>
          </w:p>
        </w:tc>
        <w:tc>
          <w:tcPr>
            <w:tcW w:w="1623" w:type="dxa"/>
          </w:tcPr>
          <w:p>
            <w:pPr>
              <w:jc w:val="center"/>
            </w:pPr>
            <w:r>
              <w:rPr>
                <w:rFonts w:hint="eastAsia"/>
              </w:rPr>
              <w:t>电压(</w:t>
            </w:r>
            <w:r>
              <w:t>mV)</w:t>
            </w:r>
          </w:p>
        </w:tc>
        <w:tc>
          <w:tcPr>
            <w:tcW w:w="1623" w:type="dxa"/>
          </w:tcPr>
          <w:p>
            <w:pPr>
              <w:jc w:val="center"/>
            </w:pPr>
            <w:r>
              <w:rPr>
                <w:rFonts w:hint="eastAsia"/>
              </w:rPr>
              <w:t>电流(</w:t>
            </w:r>
            <w:r>
              <w:t>mA)</w:t>
            </w:r>
          </w:p>
        </w:tc>
        <w:tc>
          <w:tcPr>
            <w:tcW w:w="1623" w:type="dxa"/>
            <w:vMerge w:val="continue"/>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2</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4</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6</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8</w:t>
            </w:r>
            <w:r>
              <w:t>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000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200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400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rPr>
                <w:rFonts w:hint="eastAsia"/>
              </w:rPr>
            </w:pPr>
            <w:r>
              <w:rPr>
                <w:rFonts w:hint="eastAsia"/>
              </w:rPr>
              <w:t>1</w:t>
            </w:r>
            <w:r>
              <w:t>600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800</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jc w:val="center"/>
            </w:pPr>
            <w:r>
              <w:rPr>
                <w:rFonts w:hint="eastAsia"/>
              </w:rPr>
              <w:t>1</w:t>
            </w:r>
            <w:r>
              <w:t>999</w:t>
            </w:r>
          </w:p>
        </w:tc>
        <w:tc>
          <w:tcPr>
            <w:tcW w:w="1622" w:type="dxa"/>
          </w:tcPr>
          <w:p>
            <w:pPr>
              <w:jc w:val="center"/>
            </w:pPr>
          </w:p>
        </w:tc>
        <w:tc>
          <w:tcPr>
            <w:tcW w:w="1623" w:type="dxa"/>
          </w:tcPr>
          <w:p>
            <w:pPr>
              <w:jc w:val="center"/>
            </w:pPr>
          </w:p>
        </w:tc>
        <w:tc>
          <w:tcPr>
            <w:tcW w:w="1623" w:type="dxa"/>
          </w:tcPr>
          <w:p>
            <w:pPr>
              <w:jc w:val="center"/>
            </w:pPr>
          </w:p>
        </w:tc>
        <w:tc>
          <w:tcPr>
            <w:tcW w:w="1623" w:type="dxa"/>
          </w:tcPr>
          <w:p>
            <w:pPr>
              <w:jc w:val="center"/>
            </w:pPr>
          </w:p>
        </w:tc>
        <w:tc>
          <w:tcPr>
            <w:tcW w:w="1623" w:type="dxa"/>
          </w:tcPr>
          <w:p>
            <w:pPr>
              <w:jc w:val="center"/>
            </w:pPr>
          </w:p>
        </w:tc>
      </w:tr>
    </w:tbl>
    <w:p>
      <w:pPr>
        <w:rPr>
          <w:rFonts w:hint="eastAsia"/>
        </w:rPr>
      </w:pPr>
    </w:p>
    <w:sectPr>
      <w:footerReference r:id="rId3" w:type="default"/>
      <w:footerReference r:id="rId4" w:type="even"/>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5</w:t>
    </w:r>
    <w:r>
      <w:rPr>
        <w:rStyle w:val="13"/>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75E8C"/>
    <w:multiLevelType w:val="multilevel"/>
    <w:tmpl w:val="04D75E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0607CA"/>
    <w:multiLevelType w:val="multilevel"/>
    <w:tmpl w:val="130607CA"/>
    <w:lvl w:ilvl="0" w:tentative="0">
      <w:start w:val="1"/>
      <w:numFmt w:val="decimal"/>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
    <w:nsid w:val="2CDB1AFD"/>
    <w:multiLevelType w:val="multilevel"/>
    <w:tmpl w:val="2CDB1AFD"/>
    <w:lvl w:ilvl="0" w:tentative="0">
      <w:start w:val="1"/>
      <w:numFmt w:val="chineseCountingThousand"/>
      <w:pStyle w:val="2"/>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79E6E92"/>
    <w:multiLevelType w:val="multilevel"/>
    <w:tmpl w:val="379E6E92"/>
    <w:lvl w:ilvl="0" w:tentative="0">
      <w:start w:val="1"/>
      <w:numFmt w:val="lowerLetter"/>
      <w:lvlText w:val="%1."/>
      <w:lvlJc w:val="left"/>
      <w:pPr>
        <w:ind w:left="1200" w:hanging="360"/>
      </w:pPr>
      <w:rPr>
        <w:rFonts w:ascii="Times New Roman" w:hAnsi="Times New Roman" w:eastAsia="宋体" w:cs="Times New Roman"/>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46F561DA"/>
    <w:multiLevelType w:val="multilevel"/>
    <w:tmpl w:val="46F561DA"/>
    <w:lvl w:ilvl="0" w:tentative="0">
      <w:start w:val="1"/>
      <w:numFmt w:val="decimal"/>
      <w:lvlText w:val="%1."/>
      <w:lvlJc w:val="left"/>
      <w:pPr>
        <w:ind w:left="780" w:hanging="360"/>
      </w:pPr>
      <w:rPr>
        <w:rFonts w:hint="default"/>
        <w:b/>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4FAF3E0A"/>
    <w:multiLevelType w:val="multilevel"/>
    <w:tmpl w:val="4FAF3E0A"/>
    <w:lvl w:ilvl="0" w:tentative="0">
      <w:start w:val="1"/>
      <w:numFmt w:val="decimal"/>
      <w:lvlText w:val="%1."/>
      <w:lvlJc w:val="left"/>
      <w:pPr>
        <w:ind w:left="780" w:hanging="360"/>
      </w:pPr>
      <w:rPr>
        <w:rFonts w:hint="default"/>
      </w:r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6C147F0B"/>
    <w:multiLevelType w:val="multilevel"/>
    <w:tmpl w:val="6C147F0B"/>
    <w:lvl w:ilvl="0" w:tentative="0">
      <w:start w:val="1"/>
      <w:numFmt w:val="decimalEnclosedCircle"/>
      <w:lvlText w:val="%1"/>
      <w:lvlJc w:val="left"/>
      <w:pPr>
        <w:ind w:left="1140" w:hanging="36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7">
    <w:nsid w:val="78EA03B5"/>
    <w:multiLevelType w:val="multilevel"/>
    <w:tmpl w:val="78EA03B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0"/>
  </w:num>
  <w:num w:numId="3">
    <w:abstractNumId w:val="7"/>
  </w:num>
  <w:num w:numId="4">
    <w:abstractNumId w:val="1"/>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UwMzM5OTI4YTM0YjQ0ODhlODJlNjE0OWNjODk0ZTkifQ=="/>
    <w:docVar w:name="KSO_WPS_MARK_KEY" w:val="f46ed401-42d9-46b6-8e1c-5baacf9c8628"/>
  </w:docVars>
  <w:rsids>
    <w:rsidRoot w:val="00D95248"/>
    <w:rsid w:val="000536D0"/>
    <w:rsid w:val="000577F5"/>
    <w:rsid w:val="0006511F"/>
    <w:rsid w:val="000A1742"/>
    <w:rsid w:val="000C043B"/>
    <w:rsid w:val="00120F97"/>
    <w:rsid w:val="00134E83"/>
    <w:rsid w:val="00165C88"/>
    <w:rsid w:val="001876AB"/>
    <w:rsid w:val="00271FA7"/>
    <w:rsid w:val="00277501"/>
    <w:rsid w:val="00277546"/>
    <w:rsid w:val="00356679"/>
    <w:rsid w:val="00364452"/>
    <w:rsid w:val="00365EC1"/>
    <w:rsid w:val="0039426A"/>
    <w:rsid w:val="004140B1"/>
    <w:rsid w:val="00434606"/>
    <w:rsid w:val="004411B5"/>
    <w:rsid w:val="00453E3D"/>
    <w:rsid w:val="004B69BF"/>
    <w:rsid w:val="004F151D"/>
    <w:rsid w:val="0051323E"/>
    <w:rsid w:val="005B397A"/>
    <w:rsid w:val="00606DC6"/>
    <w:rsid w:val="006119E0"/>
    <w:rsid w:val="006260F0"/>
    <w:rsid w:val="006B17CE"/>
    <w:rsid w:val="006E2F37"/>
    <w:rsid w:val="00725916"/>
    <w:rsid w:val="0074053A"/>
    <w:rsid w:val="007D0CBE"/>
    <w:rsid w:val="007D6F6E"/>
    <w:rsid w:val="00826A76"/>
    <w:rsid w:val="00827034"/>
    <w:rsid w:val="00836142"/>
    <w:rsid w:val="00857942"/>
    <w:rsid w:val="008D3057"/>
    <w:rsid w:val="008F6432"/>
    <w:rsid w:val="00925A25"/>
    <w:rsid w:val="009822E3"/>
    <w:rsid w:val="00A01717"/>
    <w:rsid w:val="00A31868"/>
    <w:rsid w:val="00A67347"/>
    <w:rsid w:val="00A736CB"/>
    <w:rsid w:val="00A776A3"/>
    <w:rsid w:val="00AA144B"/>
    <w:rsid w:val="00B76F35"/>
    <w:rsid w:val="00BA4021"/>
    <w:rsid w:val="00BE3E2C"/>
    <w:rsid w:val="00C353B4"/>
    <w:rsid w:val="00C52C6F"/>
    <w:rsid w:val="00C9377A"/>
    <w:rsid w:val="00CC5E73"/>
    <w:rsid w:val="00CF426C"/>
    <w:rsid w:val="00D95248"/>
    <w:rsid w:val="00D95676"/>
    <w:rsid w:val="00E02D9C"/>
    <w:rsid w:val="00E05433"/>
    <w:rsid w:val="00E07627"/>
    <w:rsid w:val="00E4567F"/>
    <w:rsid w:val="00E543F9"/>
    <w:rsid w:val="00E54C71"/>
    <w:rsid w:val="00E96152"/>
    <w:rsid w:val="00EB0659"/>
    <w:rsid w:val="00F10EA1"/>
    <w:rsid w:val="00F270DF"/>
    <w:rsid w:val="00F4107F"/>
    <w:rsid w:val="00F84ADA"/>
    <w:rsid w:val="00FC36E7"/>
    <w:rsid w:val="45DF2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keepLines/>
      <w:numPr>
        <w:ilvl w:val="0"/>
        <w:numId w:val="1"/>
      </w:numPr>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Body Text Indent"/>
    <w:basedOn w:val="1"/>
    <w:uiPriority w:val="0"/>
    <w:pPr>
      <w:spacing w:line="400" w:lineRule="exact"/>
      <w:ind w:firstLine="420" w:firstLineChars="200"/>
      <w:jc w:val="left"/>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19"/>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8">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9">
    <w:name w:val="Title"/>
    <w:basedOn w:val="1"/>
    <w:next w:val="1"/>
    <w:link w:val="16"/>
    <w:qFormat/>
    <w:uiPriority w:val="0"/>
    <w:pPr>
      <w:spacing w:before="240" w:after="60"/>
      <w:jc w:val="center"/>
      <w:outlineLvl w:val="0"/>
    </w:pPr>
    <w:rPr>
      <w:rFonts w:asciiTheme="majorHAnsi" w:hAnsiTheme="majorHAnsi" w:cstheme="majorBidi"/>
      <w:b/>
      <w:bCs/>
      <w:sz w:val="32"/>
      <w:szCs w:val="32"/>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paragraph" w:customStyle="1" w:styleId="14">
    <w:name w:val="Char"/>
    <w:basedOn w:val="1"/>
    <w:uiPriority w:val="0"/>
    <w:pPr>
      <w:tabs>
        <w:tab w:val="left" w:pos="432"/>
      </w:tabs>
      <w:spacing w:before="50" w:beforeLines="50" w:after="50" w:afterLines="50"/>
      <w:ind w:left="432" w:hanging="432"/>
    </w:pPr>
    <w:rPr>
      <w:sz w:val="24"/>
    </w:rPr>
  </w:style>
  <w:style w:type="character" w:customStyle="1" w:styleId="15">
    <w:name w:val="标题 1 字符"/>
    <w:link w:val="2"/>
    <w:uiPriority w:val="0"/>
    <w:rPr>
      <w:b/>
      <w:bCs/>
      <w:kern w:val="44"/>
      <w:sz w:val="44"/>
      <w:szCs w:val="44"/>
    </w:rPr>
  </w:style>
  <w:style w:type="character" w:customStyle="1" w:styleId="16">
    <w:name w:val="标题 字符"/>
    <w:basedOn w:val="12"/>
    <w:link w:val="9"/>
    <w:uiPriority w:val="0"/>
    <w:rPr>
      <w:rFonts w:asciiTheme="majorHAnsi" w:hAnsiTheme="majorHAnsi" w:cstheme="majorBidi"/>
      <w:b/>
      <w:bCs/>
      <w:kern w:val="2"/>
      <w:sz w:val="32"/>
      <w:szCs w:val="32"/>
    </w:rPr>
  </w:style>
  <w:style w:type="character" w:styleId="17">
    <w:name w:val="Placeholder Text"/>
    <w:basedOn w:val="12"/>
    <w:semiHidden/>
    <w:uiPriority w:val="99"/>
    <w:rPr>
      <w:color w:val="808080"/>
    </w:rPr>
  </w:style>
  <w:style w:type="paragraph" w:styleId="18">
    <w:name w:val="List Paragraph"/>
    <w:basedOn w:val="1"/>
    <w:qFormat/>
    <w:uiPriority w:val="34"/>
    <w:pPr>
      <w:ind w:firstLine="420" w:firstLineChars="200"/>
    </w:pPr>
  </w:style>
  <w:style w:type="character" w:customStyle="1" w:styleId="19">
    <w:name w:val="副标题 字符"/>
    <w:basedOn w:val="12"/>
    <w:link w:val="7"/>
    <w:qFormat/>
    <w:uiPriority w:val="0"/>
    <w:rPr>
      <w:rFonts w:asciiTheme="minorHAnsi" w:hAnsiTheme="minorHAnsi" w:eastAsiaTheme="minorEastAsia" w:cstheme="min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F2E115-6B7A-4807-836F-B9543561243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7</Pages>
  <Words>1637</Words>
  <Characters>1878</Characters>
  <Lines>26</Lines>
  <Paragraphs>7</Paragraphs>
  <TotalTime>0</TotalTime>
  <ScaleCrop>false</ScaleCrop>
  <LinksUpToDate>false</LinksUpToDate>
  <CharactersWithSpaces>2879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2023-03-30T07:00:00Z</dcterms:created>
  <dc:creator>User</dc:creator>
  <cp:lastModifiedBy>嘉聪</cp:lastModifiedBy>
  <dcterms:modified xsi:type="dcterms:W3CDTF">2024-06-04T04:58:07Z</dcterms:modified>
  <dc:title>得分</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9BFFD98EAD304991B8C70B2E99190976</vt:lpwstr>
  </property>
</Properties>
</file>