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2024形策真题</w:t>
      </w:r>
      <w:r>
        <w:rPr>
          <w:rFonts w:hint="eastAsia"/>
          <w:sz w:val="28"/>
          <w:szCs w:val="36"/>
          <w:lang w:val="en-US" w:eastAsia="zh-CN"/>
        </w:rPr>
        <w:t xml:space="preserve">   ~23广告潘小颖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一.简答题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1.为什么强调继续把改革开放推向前进</w:t>
      </w:r>
      <w:bookmarkStart w:id="0" w:name="_GoBack"/>
      <w:bookmarkEnd w:id="0"/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2.如何理解“新质生产力”这一概念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3.我国能源发展具备什么良好的基础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二.论述题：从内外部情况看，为什么台独分裂终会失败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三.结合现实情况，以“走出生态低碳高质量发展的新路子”。</w:t>
      </w:r>
    </w:p>
    <w:p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写不少于700字的论文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EF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2024-12-30T12:18:36Z</dcterms:created>
  <dc:creator>sone</dc:creator>
  <cp:lastModifiedBy>繁华易逝</cp:lastModifiedBy>
  <dcterms:modified xsi:type="dcterms:W3CDTF">2024-12-30T12:19:26Z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