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276"/>
      </w:pPr>
      <w:r>
        <w:rPr>
          <w:rFonts w:ascii="Arial" w:cs="Arial" w:eastAsia="Arial" w:hAnsi="Arial"/>
          <w:b/>
          <w:bCs/>
          <w:color w:val="1F3864"/>
          <w:sz w:val="36"/>
          <w:szCs w:val="36"/>
        </w:rPr>
        <w:t xml:space="preserve">Lab 3B: Advanced Cybersecurity Risk Quantification</w:t>
      </w:r>
    </w:p>
    <w:p>
      <w:pPr>
        <w:spacing w:after="40" w:line="276"/>
      </w:pPr>
      <w:r>
        <w:rPr>
          <w:rFonts w:ascii="Arial" w:cs="Arial" w:eastAsia="Arial" w:hAnsi="Arial"/>
          <w:color w:val="595959"/>
          <w:sz w:val="26"/>
          <w:szCs w:val="26"/>
        </w:rPr>
        <w:t xml:space="preserve">End-to-End Quantitative Risk Assessment, Cost-Benefit Analysis and Executive Briefing</w:t>
      </w:r>
    </w:p>
    <w:p>
      <w:pPr>
        <w:spacing w:after="200" w:line="276"/>
      </w:pPr>
      <w:r>
        <w:rPr>
          <w:rFonts w:ascii="Arial" w:cs="Arial" w:eastAsia="Arial" w:hAnsi="Arial"/>
          <w:color w:val="595959"/>
          <w:sz w:val="24"/>
          <w:szCs w:val="24"/>
        </w:rPr>
        <w:t xml:space="preserve">SecureBank Financial: Mobile Banking Platform (SecureMobile)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center"/>
            </w:pPr>
            <w:r>
              <w:rPr>
                <w:rFonts w:ascii="Arial" w:cs="Arial" w:eastAsia="Arial" w:hAnsi="Arial"/>
                <w:b/>
                <w:bCs/>
                <w:color w:val="FFFFFF"/>
                <w:sz w:val="17"/>
                <w:szCs w:val="17"/>
              </w:rPr>
              <w:t xml:space="preserve">Item</w:t>
            </w:r>
          </w:p>
        </w:tc>
        <w:tc>
          <w:tcPr>
            <w:tcW w:type="dxa" w:w="696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center"/>
            </w:pPr>
            <w:r>
              <w:rPr>
                <w:rFonts w:ascii="Arial" w:cs="Arial" w:eastAsia="Arial" w:hAnsi="Arial"/>
                <w:b/>
                <w:bCs/>
                <w:color w:val="FFFFFF"/>
                <w:sz w:val="17"/>
                <w:szCs w:val="17"/>
              </w:rPr>
              <w:t xml:space="preserve">Detail</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Prepared by</w:t>
            </w:r>
          </w:p>
        </w:tc>
        <w:tc>
          <w:tcPr>
            <w:tcW w:type="dxa" w:w="69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Chioma Ameh | Registration number C11/26/CGRCE/17567</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Course / lab</w:t>
            </w:r>
          </w:p>
        </w:tc>
        <w:tc>
          <w:tcPr>
            <w:tcW w:type="dxa" w:w="69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GRC103 | Lab 3B (Advanced Risk Quantification)</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Role</w:t>
            </w:r>
          </w:p>
        </w:tc>
        <w:tc>
          <w:tcPr>
            <w:tcW w:type="dxa" w:w="69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Lead GRC Analyst, reporting to the CISO and CFO</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Date</w:t>
            </w:r>
          </w:p>
        </w:tc>
        <w:tc>
          <w:tcPr>
            <w:tcW w:type="dxa" w:w="69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29 October 2026 (WAT)</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Supporting files</w:t>
            </w:r>
          </w:p>
        </w:tc>
        <w:tc>
          <w:tcPr>
            <w:tcW w:type="dxa" w:w="69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Lab3B_Risk_Quantification_Workbook.xlsx (all calculations, live formulas), Lab3B_Executive_Dashboard.pdf, charts folder (10 images), presentation folder (executive briefing slides)</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Method</w:t>
            </w:r>
          </w:p>
        </w:tc>
        <w:tc>
          <w:tcPr>
            <w:tcW w:type="dxa" w:w="69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SLE, ARO and ALE as taught in class; control cost-benefit with ROI and payback; heat map and budget optimisation</w:t>
            </w:r>
          </w:p>
        </w:tc>
      </w:tr>
    </w:tbl>
    <w:p>
      <w:pPr>
        <w:pStyle w:val="Heading1"/>
        <w:keepNext/>
        <w:spacing w:after="140" w:before="320"/>
      </w:pPr>
      <w:r>
        <w:rPr>
          <w:rFonts w:ascii="Arial" w:cs="Arial" w:eastAsia="Arial" w:hAnsi="Arial"/>
          <w:b/>
          <w:bCs/>
          <w:color w:val="1F3864"/>
          <w:sz w:val="30"/>
          <w:szCs w:val="30"/>
        </w:rPr>
        <w:t xml:space="preserve">Executive summary</w:t>
      </w:r>
    </w:p>
    <w:p>
      <w:pPr>
        <w:spacing w:after="120" w:line="276"/>
      </w:pPr>
      <w:r>
        <w:rPr>
          <w:rFonts w:ascii="Arial" w:cs="Arial" w:eastAsia="Arial" w:hAnsi="Arial"/>
          <w:sz w:val="21"/>
          <w:szCs w:val="21"/>
        </w:rPr>
        <w:t xml:space="preserve">SecureBank is exposed to about </w:t>
      </w:r>
      <w:r>
        <w:rPr>
          <w:rFonts w:ascii="Arial" w:cs="Arial" w:eastAsia="Arial" w:hAnsi="Arial"/>
          <w:b/>
          <w:bCs/>
          <w:sz w:val="21"/>
          <w:szCs w:val="21"/>
        </w:rPr>
        <w:t xml:space="preserve">$35,000,000</w:t>
      </w:r>
      <w:r>
        <w:rPr>
          <w:rFonts w:ascii="Arial" w:cs="Arial" w:eastAsia="Arial" w:hAnsi="Arial"/>
          <w:sz w:val="21"/>
          <w:szCs w:val="21"/>
        </w:rPr>
        <w:t xml:space="preserve"> a year in expected losses from three serious weaknesses that penetration testing found in the SecureMobile app. I looked at three controls: a web application firewall (WAF), stronger multi-factor authentication (MFA) and an API security gateway. Together they cost </w:t>
      </w:r>
      <w:r>
        <w:rPr>
          <w:rFonts w:ascii="Arial" w:cs="Arial" w:eastAsia="Arial" w:hAnsi="Arial"/>
          <w:b/>
          <w:bCs/>
          <w:sz w:val="21"/>
          <w:szCs w:val="21"/>
        </w:rPr>
        <w:t xml:space="preserve">$700,000</w:t>
      </w:r>
      <w:r>
        <w:rPr>
          <w:rFonts w:ascii="Arial" w:cs="Arial" w:eastAsia="Arial" w:hAnsi="Arial"/>
          <w:sz w:val="21"/>
          <w:szCs w:val="21"/>
        </w:rPr>
        <w:t xml:space="preserve"> to put in place and </w:t>
      </w:r>
      <w:r>
        <w:rPr>
          <w:rFonts w:ascii="Arial" w:cs="Arial" w:eastAsia="Arial" w:hAnsi="Arial"/>
          <w:b/>
          <w:bCs/>
          <w:sz w:val="21"/>
          <w:szCs w:val="21"/>
        </w:rPr>
        <w:t xml:space="preserve">$105,000</w:t>
      </w:r>
      <w:r>
        <w:rPr>
          <w:rFonts w:ascii="Arial" w:cs="Arial" w:eastAsia="Arial" w:hAnsi="Arial"/>
          <w:sz w:val="21"/>
          <w:szCs w:val="21"/>
        </w:rPr>
        <w:t xml:space="preserve"> a year to run. They cut the expected yearly loss by </w:t>
      </w:r>
      <w:r>
        <w:rPr>
          <w:rFonts w:ascii="Arial" w:cs="Arial" w:eastAsia="Arial" w:hAnsi="Arial"/>
          <w:b/>
          <w:bCs/>
          <w:sz w:val="21"/>
          <w:szCs w:val="21"/>
        </w:rPr>
        <w:t xml:space="preserve">$26,962,500</w:t>
      </w:r>
      <w:r>
        <w:rPr>
          <w:rFonts w:ascii="Arial" w:cs="Arial" w:eastAsia="Arial" w:hAnsi="Arial"/>
          <w:sz w:val="21"/>
          <w:szCs w:val="21"/>
        </w:rPr>
        <w:t xml:space="preserve"> (77.04%), which leaves </w:t>
      </w:r>
      <w:r>
        <w:rPr>
          <w:rFonts w:ascii="Arial" w:cs="Arial" w:eastAsia="Arial" w:hAnsi="Arial"/>
          <w:b/>
          <w:bCs/>
          <w:sz w:val="21"/>
          <w:szCs w:val="21"/>
        </w:rPr>
        <w:t xml:space="preserve">$8,037,500</w:t>
      </w:r>
      <w:r>
        <w:rPr>
          <w:rFonts w:ascii="Arial" w:cs="Arial" w:eastAsia="Arial" w:hAnsi="Arial"/>
          <w:sz w:val="21"/>
          <w:szCs w:val="21"/>
        </w:rPr>
        <w:t xml:space="preserve">. Once the running costs are taken off, the net benefit is </w:t>
      </w:r>
      <w:r>
        <w:rPr>
          <w:rFonts w:ascii="Arial" w:cs="Arial" w:eastAsia="Arial" w:hAnsi="Arial"/>
          <w:b/>
          <w:bCs/>
          <w:sz w:val="21"/>
          <w:szCs w:val="21"/>
        </w:rPr>
        <w:t xml:space="preserve">$26,857,500</w:t>
      </w:r>
      <w:r>
        <w:rPr>
          <w:rFonts w:ascii="Arial" w:cs="Arial" w:eastAsia="Arial" w:hAnsi="Arial"/>
          <w:sz w:val="21"/>
          <w:szCs w:val="21"/>
        </w:rPr>
        <w:t xml:space="preserve"> a year.</w:t>
      </w:r>
    </w:p>
    <w:p>
      <w:pPr>
        <w:spacing w:after="120" w:line="276"/>
      </w:pPr>
      <w:r>
        <w:rPr>
          <w:rFonts w:ascii="Arial" w:cs="Arial" w:eastAsia="Arial" w:hAnsi="Arial"/>
          <w:sz w:val="21"/>
          <w:szCs w:val="21"/>
        </w:rPr>
        <w:t xml:space="preserve">In the first year the return is </w:t>
      </w:r>
      <w:r>
        <w:rPr>
          <w:rFonts w:ascii="Arial" w:cs="Arial" w:eastAsia="Arial" w:hAnsi="Arial"/>
          <w:b/>
          <w:bCs/>
          <w:sz w:val="21"/>
          <w:szCs w:val="21"/>
        </w:rPr>
        <w:t xml:space="preserve">3,249.38%</w:t>
      </w:r>
      <w:r>
        <w:rPr>
          <w:rFonts w:ascii="Arial" w:cs="Arial" w:eastAsia="Arial" w:hAnsi="Arial"/>
          <w:sz w:val="21"/>
          <w:szCs w:val="21"/>
        </w:rPr>
        <w:t xml:space="preserve"> on everything we spend, or 3,751.79% if we count only the up-front cost. The up-front money is earned back in about </w:t>
      </w:r>
      <w:r>
        <w:rPr>
          <w:rFonts w:ascii="Arial" w:cs="Arial" w:eastAsia="Arial" w:hAnsi="Arial"/>
          <w:b/>
          <w:bCs/>
          <w:sz w:val="21"/>
          <w:szCs w:val="21"/>
        </w:rPr>
        <w:t xml:space="preserve">9.5 days</w:t>
      </w:r>
      <w:r>
        <w:rPr>
          <w:rFonts w:ascii="Arial" w:cs="Arial" w:eastAsia="Arial" w:hAnsi="Arial"/>
          <w:sz w:val="21"/>
          <w:szCs w:val="21"/>
        </w:rPr>
        <w:t xml:space="preserve">. The WAF alone accounts for 86.9% of the reduction and has the lowest set-up cost of the three, so it should go first.</w:t>
      </w:r>
    </w:p>
    <w:p>
      <w:pPr>
        <w:spacing w:after="120" w:line="276"/>
      </w:pPr>
      <w:r>
        <w:rPr>
          <w:rFonts w:ascii="Arial" w:cs="Arial" w:eastAsia="Arial" w:hAnsi="Arial"/>
          <w:sz w:val="21"/>
          <w:szCs w:val="21"/>
        </w:rPr>
        <w:t xml:space="preserve"/>
      </w:r>
      <w:r>
        <w:rPr>
          <w:rFonts w:ascii="Arial" w:cs="Arial" w:eastAsia="Arial" w:hAnsi="Arial"/>
          <w:b/>
          <w:bCs/>
          <w:sz w:val="21"/>
          <w:szCs w:val="21"/>
        </w:rPr>
        <w:t xml:space="preserve">My recommendation:</w:t>
      </w:r>
      <w:r>
        <w:rPr>
          <w:rFonts w:ascii="Arial" w:cs="Arial" w:eastAsia="Arial" w:hAnsi="Arial"/>
          <w:sz w:val="21"/>
          <w:szCs w:val="21"/>
        </w:rPr>
        <w:t xml:space="preserve"> deal with all three risks, in this order: WAF, then MFA, then the API gateway. If leadership limits first-year spending to $500,000, buy the WAF and MFA ($350,000). That already removes 97.5% of the reduction we can achieve, and the API gateway can wait until Year 2.</w:t>
      </w:r>
    </w:p>
    <w:p>
      <w:pPr>
        <w:spacing w:after="120" w:line="276"/>
      </w:pPr>
      <w:r>
        <w:rPr>
          <w:rFonts w:ascii="Arial" w:cs="Arial" w:eastAsia="Arial" w:hAnsi="Arial"/>
          <w:i/>
          <w:iCs/>
          <w:color w:val="595959"/>
          <w:sz w:val="21"/>
          <w:szCs w:val="21"/>
        </w:rPr>
        <w:t xml:space="preserve">These numbers come from a model. They rest on the figures in the lab sheet and on the assumptions in Section 2, so please read them as estimates, not forecasts.</w:t>
      </w:r>
    </w:p>
    <w:p>
      <w:pPr>
        <w:pStyle w:val="Heading1"/>
        <w:keepNext/>
        <w:spacing w:after="140" w:before="320"/>
      </w:pPr>
      <w:r>
        <w:rPr>
          <w:rFonts w:ascii="Arial" w:cs="Arial" w:eastAsia="Arial" w:hAnsi="Arial"/>
          <w:b/>
          <w:bCs/>
          <w:color w:val="1F3864"/>
          <w:sz w:val="30"/>
          <w:szCs w:val="30"/>
        </w:rPr>
        <w:t xml:space="preserve">1. Scenario and methodology</w:t>
      </w:r>
    </w:p>
    <w:p>
      <w:pPr>
        <w:spacing w:after="120" w:line="276"/>
      </w:pPr>
      <w:r>
        <w:rPr>
          <w:rFonts w:ascii="Arial" w:cs="Arial" w:eastAsia="Arial" w:hAnsi="Arial"/>
          <w:sz w:val="21"/>
          <w:szCs w:val="21"/>
        </w:rPr>
        <w:t xml:space="preserve">In my role as Lead GRC Analyst, the job here is to turn technical findings into money, so the CISO and CFO can compare the risks and the control costs on the same scale. Executives think in dollars and probabilities, so I used the quantitative approach we learned in class: SLE, ARO and 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66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center"/>
            </w:pPr>
            <w:r>
              <w:rPr>
                <w:rFonts w:ascii="Arial" w:cs="Arial" w:eastAsia="Arial" w:hAnsi="Arial"/>
                <w:b/>
                <w:bCs/>
                <w:color w:val="FFFFFF"/>
                <w:sz w:val="17"/>
                <w:szCs w:val="17"/>
              </w:rPr>
              <w:t xml:space="preserve">Term</w:t>
            </w:r>
          </w:p>
        </w:tc>
        <w:tc>
          <w:tcPr>
            <w:tcW w:type="dxa" w:w="3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center"/>
            </w:pPr>
            <w:r>
              <w:rPr>
                <w:rFonts w:ascii="Arial" w:cs="Arial" w:eastAsia="Arial" w:hAnsi="Arial"/>
                <w:b/>
                <w:bCs/>
                <w:color w:val="FFFFFF"/>
                <w:sz w:val="17"/>
                <w:szCs w:val="17"/>
              </w:rPr>
              <w:t xml:space="preserve">Formula</w:t>
            </w:r>
          </w:p>
        </w:tc>
        <w:tc>
          <w:tcPr>
            <w:tcW w:type="dxa" w:w="366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center"/>
            </w:pPr>
            <w:r>
              <w:rPr>
                <w:rFonts w:ascii="Arial" w:cs="Arial" w:eastAsia="Arial" w:hAnsi="Arial"/>
                <w:b/>
                <w:bCs/>
                <w:color w:val="FFFFFF"/>
                <w:sz w:val="17"/>
                <w:szCs w:val="17"/>
              </w:rPr>
              <w:t xml:space="preserve">Meaning</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Single Loss Expectancy (SLE)</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Asset value x Exposure factor, or the direct loss figure</w:t>
            </w:r>
          </w:p>
        </w:tc>
        <w:tc>
          <w:tcPr>
            <w:tcW w:type="dxa" w:w="36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Loss from one incident</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Annual Rate of Occurrence (ARO)</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Incidents expected per year</w:t>
            </w:r>
          </w:p>
        </w:tc>
        <w:tc>
          <w:tcPr>
            <w:tcW w:type="dxa" w:w="36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How often it is expected</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Annualized Loss Expectancy (ALE)</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SLE x ARO</w:t>
            </w:r>
          </w:p>
        </w:tc>
        <w:tc>
          <w:tcPr>
            <w:tcW w:type="dxa" w:w="36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Expected loss per year without controls</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Residual risk</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Inherent ALE x (1 - control effectiveness)</w:t>
            </w:r>
          </w:p>
        </w:tc>
        <w:tc>
          <w:tcPr>
            <w:tcW w:type="dxa" w:w="36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Risk left after the control</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Risk reduction (annual benefit)</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Inherent ALE - residual ALE</w:t>
            </w:r>
          </w:p>
        </w:tc>
        <w:tc>
          <w:tcPr>
            <w:tcW w:type="dxa" w:w="36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Loss avoided per year</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ROI</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(Benefit - cost) / cost x 100</w:t>
            </w:r>
          </w:p>
        </w:tc>
        <w:tc>
          <w:tcPr>
            <w:tcW w:type="dxa" w:w="36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Return per dollar spent</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Payback period</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Initial investment / annual net cash benefit</w:t>
            </w:r>
          </w:p>
        </w:tc>
        <w:tc>
          <w:tcPr>
            <w:tcW w:type="dxa" w:w="36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Time to recover the investment</w:t>
            </w:r>
          </w:p>
        </w:tc>
      </w:tr>
    </w:tbl>
    <w:p>
      <w:pPr>
        <w:pStyle w:val="Heading1"/>
        <w:keepNext/>
        <w:spacing w:after="140" w:before="320"/>
      </w:pPr>
      <w:r>
        <w:rPr>
          <w:rFonts w:ascii="Arial" w:cs="Arial" w:eastAsia="Arial" w:hAnsi="Arial"/>
          <w:b/>
          <w:bCs/>
          <w:color w:val="1F3864"/>
          <w:sz w:val="30"/>
          <w:szCs w:val="30"/>
        </w:rPr>
        <w:t xml:space="preserve">2. Assumptions and data sources</w:t>
      </w:r>
    </w:p>
    <w:p>
      <w:pPr>
        <w:spacing w:after="120" w:line="276"/>
      </w:pPr>
      <w:r>
        <w:rPr>
          <w:rFonts w:ascii="Arial" w:cs="Arial" w:eastAsia="Arial" w:hAnsi="Arial"/>
          <w:sz w:val="21"/>
          <w:szCs w:val="21"/>
        </w:rPr>
        <w:t xml:space="preserve">The lab sheet gives the numbers but leaves some things open to interpretation. I wrote down each choice I made so it can be checked or changed. All of them are inputs in the workbook.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7060"/>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center"/>
            </w:pPr>
            <w:r>
              <w:rPr>
                <w:rFonts w:ascii="Arial" w:cs="Arial" w:eastAsia="Arial" w:hAnsi="Arial"/>
                <w:b/>
                <w:bCs/>
                <w:color w:val="FFFFFF"/>
                <w:sz w:val="17"/>
                <w:szCs w:val="17"/>
              </w:rPr>
              <w:t xml:space="preserve">Ref</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center"/>
            </w:pPr>
            <w:r>
              <w:rPr>
                <w:rFonts w:ascii="Arial" w:cs="Arial" w:eastAsia="Arial" w:hAnsi="Arial"/>
                <w:b/>
                <w:bCs/>
                <w:color w:val="FFFFFF"/>
                <w:sz w:val="17"/>
                <w:szCs w:val="17"/>
              </w:rPr>
              <w:t xml:space="preserve">Type</w:t>
            </w:r>
          </w:p>
        </w:tc>
        <w:tc>
          <w:tcPr>
            <w:tcW w:type="dxa" w:w="706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center"/>
            </w:pPr>
            <w:r>
              <w:rPr>
                <w:rFonts w:ascii="Arial" w:cs="Arial" w:eastAsia="Arial" w:hAnsi="Arial"/>
                <w:b/>
                <w:bCs/>
                <w:color w:val="FFFFFF"/>
                <w:sz w:val="17"/>
                <w:szCs w:val="17"/>
              </w:rPr>
              <w:t xml:space="preserve">Statement</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A1</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Given</w:t>
            </w:r>
          </w:p>
        </w:tc>
        <w:tc>
          <w:tcPr>
            <w:tcW w:type="dxa" w:w="70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Exploit probabilities, loss figures, control costs, effectiveness and maintenance come from the Lab 3B sheet.</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A2</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Assumed</w:t>
            </w:r>
          </w:p>
        </w:tc>
        <w:tc>
          <w:tcPr>
            <w:tcW w:type="dxa" w:w="70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ARO equals the exploit probability treated as a yearly rate (15% = 0.15 incidents per year). The sheet does not say "per year".</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A3</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Assumed</w:t>
            </w:r>
          </w:p>
        </w:tc>
        <w:tc>
          <w:tcPr>
            <w:tcW w:type="dxa" w:w="70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SLE uses the sheet loss figures directly: $5,000,000 (maximum single incident loss); 500,000 records x $250; 5,000 accounts x $1,500. No exposure factor is given, so none is applied.</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A4</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Assumed</w:t>
            </w:r>
          </w:p>
        </w:tc>
        <w:tc>
          <w:tcPr>
            <w:tcW w:type="dxa" w:w="70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Each control mitigates the finding it is designed for (API gateway to API bypass, WAF to database injection, MFA to session hijacking) and its effectiveness applies to that finding only.</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A5</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Assumed</w:t>
            </w:r>
          </w:p>
        </w:tc>
        <w:tc>
          <w:tcPr>
            <w:tcW w:type="dxa" w:w="70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ROI is shown on initial investment (class formula) and on Year-1 total cost (initial plus first-year maintenance). Payback uses annual risk reduction less annual maintenance.</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A6</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Assumed</w:t>
            </w:r>
          </w:p>
        </w:tc>
        <w:tc>
          <w:tcPr>
            <w:tcW w:type="dxa" w:w="70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Priority thresholds: probability High at 30% or more, Medium at 10% or more; impact (SLE) High at $10,000,000 or more, Medium at $1,000,000 or more; heat score (probability x impact, 1 to 3 each) High at 6 or more, Medium at 3 or more.</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A7</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Assumed</w:t>
            </w:r>
          </w:p>
        </w:tc>
        <w:tc>
          <w:tcPr>
            <w:tcW w:type="dxa" w:w="70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The sheet sets no budget limit. $500,000 is used as the main constrained case and other budgets are tested.</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A8</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Not used</w:t>
            </w:r>
          </w:p>
        </w:tc>
        <w:tc>
          <w:tcPr>
            <w:tcW w:type="dxa" w:w="70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System context (500,000 users, $2,500 average transaction, 50,000 daily transactions, 48-hour detection for the API finding) is context only; the sheet supplies loss figures directly.</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A9</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Proposal</w:t>
            </w:r>
          </w:p>
        </w:tc>
        <w:tc>
          <w:tcPr>
            <w:tcW w:type="dxa" w:w="70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The implementation timeline is the analyst's proposal, not given data.</w:t>
            </w:r>
          </w:p>
        </w:tc>
      </w:tr>
    </w:tbl>
    <w:p>
      <w:pPr>
        <w:pStyle w:val="Heading1"/>
        <w:keepNext/>
        <w:spacing w:after="140" w:before="320"/>
      </w:pPr>
      <w:r>
        <w:rPr>
          <w:rFonts w:ascii="Arial" w:cs="Arial" w:eastAsia="Arial" w:hAnsi="Arial"/>
          <w:b/>
          <w:bCs/>
          <w:color w:val="1F3864"/>
          <w:sz w:val="30"/>
          <w:szCs w:val="30"/>
        </w:rPr>
        <w:t xml:space="preserve">3. Task 1 and Task 2: Inherent risk and prioritisation</w:t>
      </w:r>
    </w:p>
    <w:p>
      <w:pPr>
        <w:pStyle w:val="Heading2"/>
        <w:keepNext/>
        <w:spacing w:after="100" w:before="220"/>
      </w:pPr>
      <w:r>
        <w:rPr>
          <w:rFonts w:ascii="Arial" w:cs="Arial" w:eastAsia="Arial" w:hAnsi="Arial"/>
          <w:b/>
          <w:bCs/>
          <w:color w:val="2E86C1"/>
          <w:sz w:val="24"/>
          <w:szCs w:val="24"/>
        </w:rPr>
        <w:t xml:space="preserve">Vulnerability 1: API Authentication Bypass</w:t>
      </w:r>
    </w:p>
    <w:p>
      <w:pPr>
        <w:pStyle w:val="ListParagraph"/>
        <w:numPr>
          <w:ilvl w:val="0"/>
          <w:numId w:val="2"/>
        </w:numPr>
        <w:spacing w:after="70" w:line="264"/>
      </w:pPr>
      <w:r>
        <w:rPr>
          <w:rFonts w:ascii="Arial" w:cs="Arial" w:eastAsia="Arial" w:hAnsi="Arial"/>
          <w:sz w:val="21"/>
          <w:szCs w:val="21"/>
        </w:rPr>
        <w:t xml:space="preserve">Exploit probability (ARO): 15% = 0.15</w:t>
      </w:r>
    </w:p>
    <w:p>
      <w:pPr>
        <w:pStyle w:val="ListParagraph"/>
        <w:numPr>
          <w:ilvl w:val="0"/>
          <w:numId w:val="2"/>
        </w:numPr>
        <w:spacing w:after="70" w:line="264"/>
      </w:pPr>
      <w:r>
        <w:rPr>
          <w:rFonts w:ascii="Arial" w:cs="Arial" w:eastAsia="Arial" w:hAnsi="Arial"/>
          <w:sz w:val="21"/>
          <w:szCs w:val="21"/>
        </w:rPr>
        <w:t xml:space="preserve">SLE: $5,000,000 (maximum single incident loss)</w:t>
      </w:r>
    </w:p>
    <w:p>
      <w:pPr>
        <w:pStyle w:val="ListParagraph"/>
        <w:numPr>
          <w:ilvl w:val="0"/>
          <w:numId w:val="2"/>
        </w:numPr>
        <w:spacing w:after="70" w:line="264"/>
      </w:pPr>
      <w:r>
        <w:rPr>
          <w:rFonts w:ascii="Arial" w:cs="Arial" w:eastAsia="Arial" w:hAnsi="Arial"/>
          <w:sz w:val="21"/>
          <w:szCs w:val="21"/>
        </w:rPr>
        <w:t xml:space="preserve">ALE = $5,000,000 x 0.15 = </w:t>
      </w:r>
      <w:r>
        <w:rPr>
          <w:rFonts w:ascii="Arial" w:cs="Arial" w:eastAsia="Arial" w:hAnsi="Arial"/>
          <w:b/>
          <w:bCs/>
          <w:sz w:val="21"/>
          <w:szCs w:val="21"/>
        </w:rPr>
        <w:t xml:space="preserve">$750,000 per year</w:t>
      </w:r>
      <w:r>
        <w:rPr>
          <w:rFonts w:ascii="Arial" w:cs="Arial" w:eastAsia="Arial" w:hAnsi="Arial"/>
          <w:sz w:val="21"/>
          <w:szCs w:val="21"/>
        </w:rPr>
        <w:t xml:space="preserve"/>
      </w:r>
    </w:p>
    <w:p>
      <w:pPr>
        <w:pStyle w:val="Heading2"/>
        <w:keepNext/>
        <w:spacing w:after="100" w:before="220"/>
      </w:pPr>
      <w:r>
        <w:rPr>
          <w:rFonts w:ascii="Arial" w:cs="Arial" w:eastAsia="Arial" w:hAnsi="Arial"/>
          <w:b/>
          <w:bCs/>
          <w:color w:val="2E86C1"/>
          <w:sz w:val="24"/>
          <w:szCs w:val="24"/>
        </w:rPr>
        <w:t xml:space="preserve">Vulnerability 2: Database Injection</w:t>
      </w:r>
    </w:p>
    <w:p>
      <w:pPr>
        <w:pStyle w:val="ListParagraph"/>
        <w:numPr>
          <w:ilvl w:val="0"/>
          <w:numId w:val="2"/>
        </w:numPr>
        <w:spacing w:after="70" w:line="264"/>
      </w:pPr>
      <w:r>
        <w:rPr>
          <w:rFonts w:ascii="Arial" w:cs="Arial" w:eastAsia="Arial" w:hAnsi="Arial"/>
          <w:sz w:val="21"/>
          <w:szCs w:val="21"/>
        </w:rPr>
        <w:t xml:space="preserve">Exploit probability (ARO): 25% = 0.25</w:t>
      </w:r>
    </w:p>
    <w:p>
      <w:pPr>
        <w:pStyle w:val="ListParagraph"/>
        <w:numPr>
          <w:ilvl w:val="0"/>
          <w:numId w:val="2"/>
        </w:numPr>
        <w:spacing w:after="70" w:line="264"/>
      </w:pPr>
      <w:r>
        <w:rPr>
          <w:rFonts w:ascii="Arial" w:cs="Arial" w:eastAsia="Arial" w:hAnsi="Arial"/>
          <w:sz w:val="21"/>
          <w:szCs w:val="21"/>
        </w:rPr>
        <w:t xml:space="preserve">SLE: 500,000 records x $250 = $125,000,000</w:t>
      </w:r>
    </w:p>
    <w:p>
      <w:pPr>
        <w:pStyle w:val="ListParagraph"/>
        <w:numPr>
          <w:ilvl w:val="0"/>
          <w:numId w:val="2"/>
        </w:numPr>
        <w:spacing w:after="70" w:line="264"/>
      </w:pPr>
      <w:r>
        <w:rPr>
          <w:rFonts w:ascii="Arial" w:cs="Arial" w:eastAsia="Arial" w:hAnsi="Arial"/>
          <w:sz w:val="21"/>
          <w:szCs w:val="21"/>
        </w:rPr>
        <w:t xml:space="preserve">ALE = $125,000,000 x 0.25 = </w:t>
      </w:r>
      <w:r>
        <w:rPr>
          <w:rFonts w:ascii="Arial" w:cs="Arial" w:eastAsia="Arial" w:hAnsi="Arial"/>
          <w:b/>
          <w:bCs/>
          <w:sz w:val="21"/>
          <w:szCs w:val="21"/>
        </w:rPr>
        <w:t xml:space="preserve">$31,250,000 per year</w:t>
      </w:r>
      <w:r>
        <w:rPr>
          <w:rFonts w:ascii="Arial" w:cs="Arial" w:eastAsia="Arial" w:hAnsi="Arial"/>
          <w:sz w:val="21"/>
          <w:szCs w:val="21"/>
        </w:rPr>
        <w:t xml:space="preserve"/>
      </w:r>
    </w:p>
    <w:p>
      <w:pPr>
        <w:pStyle w:val="Heading2"/>
        <w:keepNext/>
        <w:spacing w:after="100" w:before="220"/>
      </w:pPr>
      <w:r>
        <w:rPr>
          <w:rFonts w:ascii="Arial" w:cs="Arial" w:eastAsia="Arial" w:hAnsi="Arial"/>
          <w:b/>
          <w:bCs/>
          <w:color w:val="2E86C1"/>
          <w:sz w:val="24"/>
          <w:szCs w:val="24"/>
        </w:rPr>
        <w:t xml:space="preserve">Vulnerability 3: Session Hijacking</w:t>
      </w:r>
    </w:p>
    <w:p>
      <w:pPr>
        <w:pStyle w:val="ListParagraph"/>
        <w:numPr>
          <w:ilvl w:val="0"/>
          <w:numId w:val="2"/>
        </w:numPr>
        <w:spacing w:after="70" w:line="264"/>
      </w:pPr>
      <w:r>
        <w:rPr>
          <w:rFonts w:ascii="Arial" w:cs="Arial" w:eastAsia="Arial" w:hAnsi="Arial"/>
          <w:sz w:val="21"/>
          <w:szCs w:val="21"/>
        </w:rPr>
        <w:t xml:space="preserve">Exploit probability (ARO): 40% = 0.40</w:t>
      </w:r>
    </w:p>
    <w:p>
      <w:pPr>
        <w:pStyle w:val="ListParagraph"/>
        <w:numPr>
          <w:ilvl w:val="0"/>
          <w:numId w:val="2"/>
        </w:numPr>
        <w:spacing w:after="70" w:line="264"/>
      </w:pPr>
      <w:r>
        <w:rPr>
          <w:rFonts w:ascii="Arial" w:cs="Arial" w:eastAsia="Arial" w:hAnsi="Arial"/>
          <w:sz w:val="21"/>
          <w:szCs w:val="21"/>
        </w:rPr>
        <w:t xml:space="preserve">SLE: 5,000 accounts x $1,500 = $7,500,000</w:t>
      </w:r>
    </w:p>
    <w:p>
      <w:pPr>
        <w:pStyle w:val="ListParagraph"/>
        <w:numPr>
          <w:ilvl w:val="0"/>
          <w:numId w:val="2"/>
        </w:numPr>
        <w:spacing w:after="70" w:line="264"/>
      </w:pPr>
      <w:r>
        <w:rPr>
          <w:rFonts w:ascii="Arial" w:cs="Arial" w:eastAsia="Arial" w:hAnsi="Arial"/>
          <w:sz w:val="21"/>
          <w:szCs w:val="21"/>
        </w:rPr>
        <w:t xml:space="preserve">ALE = $7,500,000 x 0.40 = </w:t>
      </w:r>
      <w:r>
        <w:rPr>
          <w:rFonts w:ascii="Arial" w:cs="Arial" w:eastAsia="Arial" w:hAnsi="Arial"/>
          <w:b/>
          <w:bCs/>
          <w:sz w:val="21"/>
          <w:szCs w:val="21"/>
        </w:rPr>
        <w:t xml:space="preserve">$3,000,000 per year</w:t>
      </w:r>
      <w:r>
        <w:rPr>
          <w:rFonts w:ascii="Arial" w:cs="Arial" w:eastAsia="Arial" w:hAnsi="Arial"/>
          <w:sz w:val="21"/>
          <w:szCs w:val="21"/>
        </w:rPr>
        <w:t xml:space="preserve"/>
      </w:r>
    </w:p>
    <w:p>
      <w:pPr>
        <w:spacing w:after="60" w:line="276"/>
      </w:pPr>
      <w:r>
        <w:rPr>
          <w:rFonts w:ascii="Arial" w:cs="Arial" w:eastAsia="Arial" w:hAnsi="Arial"/>
          <w:sz w:val="21"/>
          <w:szCs w:val="21"/>
        </w:rPr>
        <w:t xml:space="preserve"/>
      </w:r>
    </w:p>
    <w:p>
      <w:pPr>
        <w:keepNext/>
        <w:spacing w:after="120" w:line="276"/>
      </w:pPr>
      <w:r>
        <w:rPr>
          <w:rFonts w:ascii="Arial" w:cs="Arial" w:eastAsia="Arial" w:hAnsi="Arial"/>
          <w:sz w:val="21"/>
          <w:szCs w:val="21"/>
        </w:rPr>
        <w:t xml:space="preserve"/>
      </w:r>
      <w:r>
        <w:rPr>
          <w:rFonts w:ascii="Arial" w:cs="Arial" w:eastAsia="Arial" w:hAnsi="Arial"/>
          <w:b/>
          <w:bCs/>
          <w:sz w:val="21"/>
          <w:szCs w:val="21"/>
        </w:rPr>
        <w:t xml:space="preserve">Table 1. Risk prioritisation matrix</w:t>
      </w:r>
      <w:r>
        <w:rPr>
          <w:rFonts w:ascii="Arial" w:cs="Arial" w:eastAsia="Arial" w:hAnsi="Arial"/>
          <w:sz w:val="21"/>
          <w:szCs w:val="21"/>
        </w:rPr>
        <w:t xml:space="preserve"> (rank by ALE; level from the probability x impact heat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
        <w:gridCol w:w="2350"/>
        <w:gridCol w:w="1400"/>
        <w:gridCol w:w="600"/>
        <w:gridCol w:w="1450"/>
        <w:gridCol w:w="1850"/>
        <w:gridCol w:w="1060"/>
      </w:tblGrid>
      <w:tr>
        <w:trPr>
          <w:tblHeader/>
        </w:trPr>
        <w:tc>
          <w:tcPr>
            <w:tcW w:type="dxa" w:w="65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center"/>
            </w:pPr>
            <w:r>
              <w:rPr>
                <w:rFonts w:ascii="Arial" w:cs="Arial" w:eastAsia="Arial" w:hAnsi="Arial"/>
                <w:b/>
                <w:bCs/>
                <w:color w:val="FFFFFF"/>
                <w:sz w:val="17"/>
                <w:szCs w:val="17"/>
              </w:rPr>
              <w:t xml:space="preserve">Rank</w:t>
            </w:r>
          </w:p>
        </w:tc>
        <w:tc>
          <w:tcPr>
            <w:tcW w:type="dxa" w:w="235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center"/>
            </w:pPr>
            <w:r>
              <w:rPr>
                <w:rFonts w:ascii="Arial" w:cs="Arial" w:eastAsia="Arial" w:hAnsi="Arial"/>
                <w:b/>
                <w:bCs/>
                <w:color w:val="FFFFFF"/>
                <w:sz w:val="17"/>
                <w:szCs w:val="17"/>
              </w:rPr>
              <w:t xml:space="preserve">Vulnerability</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center"/>
            </w:pPr>
            <w:r>
              <w:rPr>
                <w:rFonts w:ascii="Arial" w:cs="Arial" w:eastAsia="Arial" w:hAnsi="Arial"/>
                <w:b/>
                <w:bCs/>
                <w:color w:val="FFFFFF"/>
                <w:sz w:val="17"/>
                <w:szCs w:val="17"/>
              </w:rPr>
              <w:t xml:space="preserve">SLE</w:t>
            </w:r>
          </w:p>
        </w:tc>
        <w:tc>
          <w:tcPr>
            <w:tcW w:type="dxa" w:w="6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center"/>
            </w:pPr>
            <w:r>
              <w:rPr>
                <w:rFonts w:ascii="Arial" w:cs="Arial" w:eastAsia="Arial" w:hAnsi="Arial"/>
                <w:b/>
                <w:bCs/>
                <w:color w:val="FFFFFF"/>
                <w:sz w:val="17"/>
                <w:szCs w:val="17"/>
              </w:rPr>
              <w:t xml:space="preserve">ARO</w:t>
            </w:r>
          </w:p>
        </w:tc>
        <w:tc>
          <w:tcPr>
            <w:tcW w:type="dxa" w:w="145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center"/>
            </w:pPr>
            <w:r>
              <w:rPr>
                <w:rFonts w:ascii="Arial" w:cs="Arial" w:eastAsia="Arial" w:hAnsi="Arial"/>
                <w:b/>
                <w:bCs/>
                <w:color w:val="FFFFFF"/>
                <w:sz w:val="17"/>
                <w:szCs w:val="17"/>
              </w:rPr>
              <w:t xml:space="preserve">ALE</w:t>
            </w:r>
          </w:p>
        </w:tc>
        <w:tc>
          <w:tcPr>
            <w:tcW w:type="dxa" w:w="185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center"/>
            </w:pPr>
            <w:r>
              <w:rPr>
                <w:rFonts w:ascii="Arial" w:cs="Arial" w:eastAsia="Arial" w:hAnsi="Arial"/>
                <w:b/>
                <w:bCs/>
                <w:color w:val="FFFFFF"/>
                <w:sz w:val="17"/>
                <w:szCs w:val="17"/>
              </w:rPr>
              <w:t xml:space="preserve">Heat score</w:t>
            </w:r>
          </w:p>
        </w:tc>
        <w:tc>
          <w:tcPr>
            <w:tcW w:type="dxa" w:w="106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center"/>
            </w:pPr>
            <w:r>
              <w:rPr>
                <w:rFonts w:ascii="Arial" w:cs="Arial" w:eastAsia="Arial" w:hAnsi="Arial"/>
                <w:b/>
                <w:bCs/>
                <w:color w:val="FFFFFF"/>
                <w:sz w:val="17"/>
                <w:szCs w:val="17"/>
              </w:rPr>
              <w:t xml:space="preserve">Priority</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1</w:t>
            </w:r>
          </w:p>
        </w:tc>
        <w:tc>
          <w:tcPr>
            <w:tcW w:type="dxa" w:w="235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Database Injection</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$125,000,000</w:t>
            </w:r>
          </w:p>
        </w:tc>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0.25</w:t>
            </w:r>
          </w:p>
        </w:tc>
        <w:tc>
          <w:tcPr>
            <w:tcW w:type="dxa" w:w="145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$31,250,000</w:t>
            </w:r>
          </w:p>
        </w:tc>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Medium x High = 6</w:t>
            </w:r>
          </w:p>
        </w:tc>
        <w:tc>
          <w:tcPr>
            <w:tcW w:type="dxa" w:w="10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High</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2</w:t>
            </w:r>
          </w:p>
        </w:tc>
        <w:tc>
          <w:tcPr>
            <w:tcW w:type="dxa" w:w="235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Session Hijacking</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$7,500,000</w:t>
            </w:r>
          </w:p>
        </w:tc>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0.40</w:t>
            </w:r>
          </w:p>
        </w:tc>
        <w:tc>
          <w:tcPr>
            <w:tcW w:type="dxa" w:w="145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$3,000,000</w:t>
            </w:r>
          </w:p>
        </w:tc>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High x Medium = 6</w:t>
            </w:r>
          </w:p>
        </w:tc>
        <w:tc>
          <w:tcPr>
            <w:tcW w:type="dxa" w:w="10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High</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3</w:t>
            </w:r>
          </w:p>
        </w:tc>
        <w:tc>
          <w:tcPr>
            <w:tcW w:type="dxa" w:w="235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API Authentication Bypass</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$5,000,000</w:t>
            </w:r>
          </w:p>
        </w:tc>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0.15</w:t>
            </w:r>
          </w:p>
        </w:tc>
        <w:tc>
          <w:tcPr>
            <w:tcW w:type="dxa" w:w="145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$750,000</w:t>
            </w:r>
          </w:p>
        </w:tc>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Medium x Medium = 4</w:t>
            </w:r>
          </w:p>
        </w:tc>
        <w:tc>
          <w:tcPr>
            <w:tcW w:type="dxa" w:w="10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Medium</w:t>
            </w:r>
          </w:p>
        </w:tc>
      </w:tr>
      <w:tr>
        <w:trPr>
          <w:cantSplit/>
        </w:trPr>
        <w:tc>
          <w:tcPr>
            <w:tcW w:type="dxa" w:w="650"/>
            <w:tcBorders>
              <w:top w:val="single" w:color="BFBFBF" w:sz="4"/>
              <w:left w:val="single" w:color="BFBFBF" w:sz="4"/>
              <w:bottom w:val="single" w:color="BFBFBF" w:sz="4"/>
              <w:right w:val="single" w:color="BFBFBF" w:sz="4"/>
            </w:tcBorders>
            <w:shd w:fill="EEF3F9" w:color="auto" w:val="clear"/>
            <w:tcMar>
              <w:top w:type="dxa" w:w="60"/>
              <w:left w:type="dxa" w:w="90"/>
              <w:bottom w:type="dxa" w:w="60"/>
              <w:right w:type="dxa" w:w="90"/>
            </w:tcMar>
          </w:tcPr>
          <w:p>
            <w:pPr>
              <w:jc w:val="left"/>
            </w:pPr>
            <w:r>
              <w:rPr>
                <w:rFonts w:ascii="Arial" w:cs="Arial" w:eastAsia="Arial" w:hAnsi="Arial"/>
                <w:b/>
                <w:bCs/>
                <w:sz w:val="17"/>
                <w:szCs w:val="17"/>
              </w:rPr>
              <w:t xml:space="preserve"/>
            </w:r>
          </w:p>
        </w:tc>
        <w:tc>
          <w:tcPr>
            <w:tcW w:type="dxa" w:w="2350"/>
            <w:tcBorders>
              <w:top w:val="single" w:color="BFBFBF" w:sz="4"/>
              <w:left w:val="single" w:color="BFBFBF" w:sz="4"/>
              <w:bottom w:val="single" w:color="BFBFBF" w:sz="4"/>
              <w:right w:val="single" w:color="BFBFBF" w:sz="4"/>
            </w:tcBorders>
            <w:shd w:fill="EEF3F9" w:color="auto" w:val="clear"/>
            <w:tcMar>
              <w:top w:type="dxa" w:w="60"/>
              <w:left w:type="dxa" w:w="90"/>
              <w:bottom w:type="dxa" w:w="60"/>
              <w:right w:type="dxa" w:w="90"/>
            </w:tcMar>
          </w:tcPr>
          <w:p>
            <w:pPr>
              <w:jc w:val="left"/>
            </w:pPr>
            <w:r>
              <w:rPr>
                <w:rFonts w:ascii="Arial" w:cs="Arial" w:eastAsia="Arial" w:hAnsi="Arial"/>
                <w:b/>
                <w:bCs/>
                <w:sz w:val="17"/>
                <w:szCs w:val="17"/>
              </w:rPr>
              <w:t xml:space="preserve">Total</w:t>
            </w:r>
          </w:p>
        </w:tc>
        <w:tc>
          <w:tcPr>
            <w:tcW w:type="dxa" w:w="1400"/>
            <w:tcBorders>
              <w:top w:val="single" w:color="BFBFBF" w:sz="4"/>
              <w:left w:val="single" w:color="BFBFBF" w:sz="4"/>
              <w:bottom w:val="single" w:color="BFBFBF" w:sz="4"/>
              <w:right w:val="single" w:color="BFBFBF" w:sz="4"/>
            </w:tcBorders>
            <w:shd w:fill="EEF3F9" w:color="auto" w:val="clear"/>
            <w:tcMar>
              <w:top w:type="dxa" w:w="60"/>
              <w:left w:type="dxa" w:w="90"/>
              <w:bottom w:type="dxa" w:w="60"/>
              <w:right w:type="dxa" w:w="90"/>
            </w:tcMar>
          </w:tcPr>
          <w:p>
            <w:pPr>
              <w:jc w:val="left"/>
            </w:pPr>
            <w:r>
              <w:rPr>
                <w:rFonts w:ascii="Arial" w:cs="Arial" w:eastAsia="Arial" w:hAnsi="Arial"/>
                <w:b/>
                <w:bCs/>
                <w:sz w:val="17"/>
                <w:szCs w:val="17"/>
              </w:rPr>
              <w:t xml:space="preserve"/>
            </w:r>
          </w:p>
        </w:tc>
        <w:tc>
          <w:tcPr>
            <w:tcW w:type="dxa" w:w="600"/>
            <w:tcBorders>
              <w:top w:val="single" w:color="BFBFBF" w:sz="4"/>
              <w:left w:val="single" w:color="BFBFBF" w:sz="4"/>
              <w:bottom w:val="single" w:color="BFBFBF" w:sz="4"/>
              <w:right w:val="single" w:color="BFBFBF" w:sz="4"/>
            </w:tcBorders>
            <w:shd w:fill="EEF3F9" w:color="auto" w:val="clear"/>
            <w:tcMar>
              <w:top w:type="dxa" w:w="60"/>
              <w:left w:type="dxa" w:w="90"/>
              <w:bottom w:type="dxa" w:w="60"/>
              <w:right w:type="dxa" w:w="90"/>
            </w:tcMar>
          </w:tcPr>
          <w:p>
            <w:pPr>
              <w:jc w:val="left"/>
            </w:pPr>
            <w:r>
              <w:rPr>
                <w:rFonts w:ascii="Arial" w:cs="Arial" w:eastAsia="Arial" w:hAnsi="Arial"/>
                <w:b/>
                <w:bCs/>
                <w:sz w:val="17"/>
                <w:szCs w:val="17"/>
              </w:rPr>
              <w:t xml:space="preserve"/>
            </w:r>
          </w:p>
        </w:tc>
        <w:tc>
          <w:tcPr>
            <w:tcW w:type="dxa" w:w="1450"/>
            <w:tcBorders>
              <w:top w:val="single" w:color="BFBFBF" w:sz="4"/>
              <w:left w:val="single" w:color="BFBFBF" w:sz="4"/>
              <w:bottom w:val="single" w:color="BFBFBF" w:sz="4"/>
              <w:right w:val="single" w:color="BFBFBF" w:sz="4"/>
            </w:tcBorders>
            <w:shd w:fill="EEF3F9" w:color="auto" w:val="clear"/>
            <w:tcMar>
              <w:top w:type="dxa" w:w="60"/>
              <w:left w:type="dxa" w:w="90"/>
              <w:bottom w:type="dxa" w:w="60"/>
              <w:right w:type="dxa" w:w="90"/>
            </w:tcMar>
          </w:tcPr>
          <w:p>
            <w:pPr>
              <w:jc w:val="left"/>
            </w:pPr>
            <w:r>
              <w:rPr>
                <w:rFonts w:ascii="Arial" w:cs="Arial" w:eastAsia="Arial" w:hAnsi="Arial"/>
                <w:b/>
                <w:bCs/>
                <w:sz w:val="17"/>
                <w:szCs w:val="17"/>
              </w:rPr>
              <w:t xml:space="preserve">$35,000,000</w:t>
            </w:r>
          </w:p>
        </w:tc>
        <w:tc>
          <w:tcPr>
            <w:tcW w:type="dxa" w:w="1850"/>
            <w:tcBorders>
              <w:top w:val="single" w:color="BFBFBF" w:sz="4"/>
              <w:left w:val="single" w:color="BFBFBF" w:sz="4"/>
              <w:bottom w:val="single" w:color="BFBFBF" w:sz="4"/>
              <w:right w:val="single" w:color="BFBFBF" w:sz="4"/>
            </w:tcBorders>
            <w:shd w:fill="EEF3F9" w:color="auto" w:val="clear"/>
            <w:tcMar>
              <w:top w:type="dxa" w:w="60"/>
              <w:left w:type="dxa" w:w="90"/>
              <w:bottom w:type="dxa" w:w="60"/>
              <w:right w:type="dxa" w:w="90"/>
            </w:tcMar>
          </w:tcPr>
          <w:p>
            <w:pPr>
              <w:jc w:val="left"/>
            </w:pPr>
            <w:r>
              <w:rPr>
                <w:rFonts w:ascii="Arial" w:cs="Arial" w:eastAsia="Arial" w:hAnsi="Arial"/>
                <w:b/>
                <w:bCs/>
                <w:sz w:val="17"/>
                <w:szCs w:val="17"/>
              </w:rPr>
              <w:t xml:space="preserve"/>
            </w:r>
          </w:p>
        </w:tc>
        <w:tc>
          <w:tcPr>
            <w:tcW w:type="dxa" w:w="1060"/>
            <w:tcBorders>
              <w:top w:val="single" w:color="BFBFBF" w:sz="4"/>
              <w:left w:val="single" w:color="BFBFBF" w:sz="4"/>
              <w:bottom w:val="single" w:color="BFBFBF" w:sz="4"/>
              <w:right w:val="single" w:color="BFBFBF" w:sz="4"/>
            </w:tcBorders>
            <w:shd w:fill="EEF3F9" w:color="auto" w:val="clear"/>
            <w:tcMar>
              <w:top w:type="dxa" w:w="60"/>
              <w:left w:type="dxa" w:w="90"/>
              <w:bottom w:type="dxa" w:w="60"/>
              <w:right w:type="dxa" w:w="90"/>
            </w:tcMar>
          </w:tcPr>
          <w:p>
            <w:pPr>
              <w:jc w:val="left"/>
            </w:pPr>
            <w:r>
              <w:rPr>
                <w:rFonts w:ascii="Arial" w:cs="Arial" w:eastAsia="Arial" w:hAnsi="Arial"/>
                <w:b/>
                <w:bCs/>
                <w:sz w:val="17"/>
                <w:szCs w:val="17"/>
              </w:rPr>
              <w:t xml:space="preserve">High</w:t>
            </w:r>
          </w:p>
        </w:tc>
      </w:tr>
    </w:tbl>
    <w:p>
      <w:pPr>
        <w:spacing w:after="60" w:line="276"/>
      </w:pPr>
      <w:r>
        <w:rPr>
          <w:rFonts w:ascii="Arial" w:cs="Arial" w:eastAsia="Arial" w:hAnsi="Arial"/>
          <w:sz w:val="21"/>
          <w:szCs w:val="21"/>
        </w:rPr>
        <w:t xml:space="preserve"/>
      </w:r>
    </w:p>
    <w:p>
      <w:pPr>
        <w:spacing w:after="80" w:line="276"/>
      </w:pPr>
      <w:r>
        <w:rPr>
          <w:rFonts w:ascii="Arial" w:cs="Arial" w:eastAsia="Arial" w:hAnsi="Arial"/>
          <w:sz w:val="21"/>
          <w:szCs w:val="21"/>
        </w:rPr>
        <w:t xml:space="preserve">Database injection ranks first. One incident costs $125 million, and we expect one about every four years (ARO 0.25). Session hijacking comes second: it is the most likely event (40%), but each incident costs less. The API bypass has the lowest ALE, but it still needs treatment because a single incident can cost $5 million and it can go undetected for about 48 hours.</w:t>
      </w:r>
    </w:p>
    <w:p>
      <w:pPr>
        <w:spacing w:after="120" w:line="276"/>
      </w:pPr>
      <w:r>
        <w:rPr>
          <w:rFonts w:ascii="Arial" w:cs="Arial" w:eastAsia="Arial" w:hAnsi="Arial"/>
          <w:sz w:val="21"/>
          <w:szCs w:val="21"/>
        </w:rPr>
        <w:t xml:space="preserve">I called the database injection risk 'Critical' in an earlier draft. I changed it to High (rank 1) because the lab sheet only uses High, Medium and Low.</w:t>
      </w:r>
    </w:p>
    <w:p>
      <w:pPr>
        <w:pStyle w:val="Heading1"/>
        <w:keepNext/>
        <w:spacing w:after="140" w:before="320"/>
      </w:pPr>
      <w:r>
        <w:rPr>
          <w:rFonts w:ascii="Arial" w:cs="Arial" w:eastAsia="Arial" w:hAnsi="Arial"/>
          <w:b/>
          <w:bCs/>
          <w:color w:val="1F3864"/>
          <w:sz w:val="30"/>
          <w:szCs w:val="30"/>
        </w:rPr>
        <w:t xml:space="preserve">4. Task 3: Risk visualisations</w:t>
      </w:r>
    </w:p>
    <w:p>
      <w:pPr>
        <w:keepNext/>
        <w:spacing w:after="60" w:before="120"/>
        <w:jc w:val="center"/>
      </w:pPr>
      <w:r>
        <w:drawing>
          <wp:inline distT="0" distB="0" distL="0" distR="0">
            <wp:extent cx="5334000" cy="3000375"/>
            <wp:effectExtent t="0" r="0" b="0" l="0"/>
            <wp:docPr id="1" name="charts/01_ale_bar.png" descr="charts/01_ale_bar.png" title="charts/01_ale_b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000375"/>
                    </a:xfrm>
                    <a:prstGeom prst="rect">
                      <a:avLst/>
                    </a:prstGeom>
                  </pic:spPr>
                </pic:pic>
              </a:graphicData>
            </a:graphic>
          </wp:inline>
        </w:drawing>
      </w:r>
    </w:p>
    <w:p>
      <w:pPr>
        <w:spacing w:after="200" w:line="276"/>
        <w:jc w:val="center"/>
      </w:pPr>
      <w:r>
        <w:rPr>
          <w:rFonts w:ascii="Arial" w:cs="Arial" w:eastAsia="Arial" w:hAnsi="Arial"/>
          <w:i/>
          <w:iCs/>
          <w:color w:val="595959"/>
          <w:sz w:val="18"/>
          <w:szCs w:val="18"/>
        </w:rPr>
        <w:t xml:space="preserve">Figure 1. ALE by vulnerability. Red marks High priority and amber marks Medium priority.</w:t>
      </w:r>
    </w:p>
    <w:p>
      <w:pPr>
        <w:keepNext/>
        <w:spacing w:after="60" w:before="120"/>
        <w:jc w:val="center"/>
      </w:pPr>
      <w:r>
        <w:drawing>
          <wp:inline distT="0" distB="0" distL="0" distR="0">
            <wp:extent cx="4762500" cy="3057525"/>
            <wp:effectExtent t="0" r="0" b="0" l="0"/>
            <wp:docPr id="1" name="charts/02_ale_pie.png" descr="charts/02_ale_pie.png" title="charts/02_ale_pi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3057525"/>
                    </a:xfrm>
                    <a:prstGeom prst="rect">
                      <a:avLst/>
                    </a:prstGeom>
                  </pic:spPr>
                </pic:pic>
              </a:graphicData>
            </a:graphic>
          </wp:inline>
        </w:drawing>
      </w:r>
    </w:p>
    <w:p>
      <w:pPr>
        <w:spacing w:after="200" w:line="276"/>
        <w:jc w:val="center"/>
      </w:pPr>
      <w:r>
        <w:rPr>
          <w:rFonts w:ascii="Arial" w:cs="Arial" w:eastAsia="Arial" w:hAnsi="Arial"/>
          <w:i/>
          <w:iCs/>
          <w:color w:val="595959"/>
          <w:sz w:val="18"/>
          <w:szCs w:val="18"/>
        </w:rPr>
        <w:t xml:space="preserve">Figure 2. Share of total ALE. Database injection carries 89.3% of the exposure.</w:t>
      </w:r>
    </w:p>
    <w:p>
      <w:pPr>
        <w:keepNext/>
        <w:spacing w:after="60" w:before="120"/>
        <w:jc w:val="center"/>
      </w:pPr>
      <w:r>
        <w:drawing>
          <wp:inline distT="0" distB="0" distL="0" distR="0">
            <wp:extent cx="3619500" cy="3019425"/>
            <wp:effectExtent t="0" r="0" b="0" l="0"/>
            <wp:docPr id="1" name="charts/03_heat_map.png" descr="charts/03_heat_map.png" title="charts/03_heat_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19500" cy="3019425"/>
                    </a:xfrm>
                    <a:prstGeom prst="rect">
                      <a:avLst/>
                    </a:prstGeom>
                  </pic:spPr>
                </pic:pic>
              </a:graphicData>
            </a:graphic>
          </wp:inline>
        </w:drawing>
      </w:r>
    </w:p>
    <w:p>
      <w:pPr>
        <w:spacing w:after="200" w:line="276"/>
        <w:jc w:val="center"/>
      </w:pPr>
      <w:r>
        <w:rPr>
          <w:rFonts w:ascii="Arial" w:cs="Arial" w:eastAsia="Arial" w:hAnsi="Arial"/>
          <w:i/>
          <w:iCs/>
          <w:color w:val="595959"/>
          <w:sz w:val="18"/>
          <w:szCs w:val="18"/>
        </w:rPr>
        <w:t xml:space="preserve">Figure 3. Risk heat map (probability x impact). F1 API bypass, F2 database injection, F3 session hijacking.</w:t>
      </w:r>
    </w:p>
    <w:p>
      <w:pPr>
        <w:sectPr>
          <w:footerReference w:type="default" r:id="rId7"/>
          <w:pgSz w:w="12240" w:h="15840" w:orient="portrait"/>
          <w:pgMar w:top="1300" w:right="1440" w:bottom="1200" w:left="1440" w:header="708" w:footer="708" w:gutter="0"/>
          <w:pgNumType/>
          <w:docGrid w:linePitch="360"/>
        </w:sectPr>
      </w:pPr>
    </w:p>
    <w:p>
      <w:pPr>
        <w:pStyle w:val="Heading1"/>
        <w:keepNext/>
        <w:spacing w:after="140" w:before="320"/>
      </w:pPr>
      <w:r>
        <w:rPr>
          <w:rFonts w:ascii="Arial" w:cs="Arial" w:eastAsia="Arial" w:hAnsi="Arial"/>
          <w:b/>
          <w:bCs/>
          <w:color w:val="1F3864"/>
          <w:sz w:val="30"/>
          <w:szCs w:val="30"/>
        </w:rPr>
        <w:t xml:space="preserve">5. Task 4: Control cost-benefit analysis</w:t>
      </w:r>
    </w:p>
    <w:p>
      <w:pPr>
        <w:spacing w:after="120" w:line="276"/>
      </w:pPr>
      <w:r>
        <w:rPr>
          <w:rFonts w:ascii="Arial" w:cs="Arial" w:eastAsia="Arial" w:hAnsi="Arial"/>
          <w:sz w:val="21"/>
          <w:szCs w:val="21"/>
        </w:rPr>
        <w:t xml:space="preserve">For each control I worked out the up-front cost (CapEx), the yearly running cost (OpEx), how much risk it removes, how much is left, the ROI on both bases, and the payback period. The formulas are the ones in Section 1.</w:t>
      </w:r>
    </w:p>
    <w:p>
      <w:pPr>
        <w:pStyle w:val="Heading2"/>
        <w:keepNext/>
        <w:spacing w:after="100" w:before="220"/>
      </w:pPr>
      <w:r>
        <w:rPr>
          <w:rFonts w:ascii="Arial" w:cs="Arial" w:eastAsia="Arial" w:hAnsi="Arial"/>
          <w:b/>
          <w:bCs/>
          <w:color w:val="2E86C1"/>
          <w:sz w:val="24"/>
          <w:szCs w:val="24"/>
        </w:rPr>
        <w:t xml:space="preserve">Web Application Firewall (WAF): mitigates Database Injection</w:t>
      </w:r>
    </w:p>
    <w:p>
      <w:pPr>
        <w:pStyle w:val="ListParagraph"/>
        <w:numPr>
          <w:ilvl w:val="0"/>
          <w:numId w:val="2"/>
        </w:numPr>
        <w:spacing w:after="70" w:line="264"/>
      </w:pPr>
      <w:r>
        <w:rPr>
          <w:rFonts w:ascii="Arial" w:cs="Arial" w:eastAsia="Arial" w:hAnsi="Arial"/>
          <w:sz w:val="21"/>
          <w:szCs w:val="21"/>
        </w:rPr>
        <w:t xml:space="preserve">Parameters: initial $150,000 | maintenance $25,000 per year | effectiveness 75%</w:t>
      </w:r>
    </w:p>
    <w:p>
      <w:pPr>
        <w:pStyle w:val="ListParagraph"/>
        <w:numPr>
          <w:ilvl w:val="0"/>
          <w:numId w:val="2"/>
        </w:numPr>
        <w:spacing w:after="70" w:line="264"/>
      </w:pPr>
      <w:r>
        <w:rPr>
          <w:rFonts w:ascii="Arial" w:cs="Arial" w:eastAsia="Arial" w:hAnsi="Arial"/>
          <w:sz w:val="21"/>
          <w:szCs w:val="21"/>
        </w:rPr>
        <w:t xml:space="preserve">Inherent ALE $31,250,000; residual ALE = $31,250,000 x (1 - 0.75) = $7,812,500</w:t>
      </w:r>
    </w:p>
    <w:p>
      <w:pPr>
        <w:pStyle w:val="ListParagraph"/>
        <w:numPr>
          <w:ilvl w:val="0"/>
          <w:numId w:val="2"/>
        </w:numPr>
        <w:spacing w:after="70" w:line="264"/>
      </w:pPr>
      <w:r>
        <w:rPr>
          <w:rFonts w:ascii="Arial" w:cs="Arial" w:eastAsia="Arial" w:hAnsi="Arial"/>
          <w:sz w:val="21"/>
          <w:szCs w:val="21"/>
        </w:rPr>
        <w:t xml:space="preserve">Annual risk reduction = $31,250,000 x 0.75 = </w:t>
      </w:r>
      <w:r>
        <w:rPr>
          <w:rFonts w:ascii="Arial" w:cs="Arial" w:eastAsia="Arial" w:hAnsi="Arial"/>
          <w:b/>
          <w:bCs/>
          <w:sz w:val="21"/>
          <w:szCs w:val="21"/>
        </w:rPr>
        <w:t xml:space="preserve">$23,437,500</w:t>
      </w:r>
      <w:r>
        <w:rPr>
          <w:rFonts w:ascii="Arial" w:cs="Arial" w:eastAsia="Arial" w:hAnsi="Arial"/>
          <w:sz w:val="21"/>
          <w:szCs w:val="21"/>
        </w:rPr>
        <w:t xml:space="preserve"/>
      </w:r>
    </w:p>
    <w:p>
      <w:pPr>
        <w:pStyle w:val="ListParagraph"/>
        <w:numPr>
          <w:ilvl w:val="0"/>
          <w:numId w:val="2"/>
        </w:numPr>
        <w:spacing w:after="70" w:line="264"/>
      </w:pPr>
      <w:r>
        <w:rPr>
          <w:rFonts w:ascii="Arial" w:cs="Arial" w:eastAsia="Arial" w:hAnsi="Arial"/>
          <w:sz w:val="21"/>
          <w:szCs w:val="21"/>
        </w:rPr>
        <w:t xml:space="preserve">ROI on initial investment = ($23,437,500 - $150,000) / $150,000 = </w:t>
      </w:r>
      <w:r>
        <w:rPr>
          <w:rFonts w:ascii="Arial" w:cs="Arial" w:eastAsia="Arial" w:hAnsi="Arial"/>
          <w:b/>
          <w:bCs/>
          <w:sz w:val="21"/>
          <w:szCs w:val="21"/>
        </w:rPr>
        <w:t xml:space="preserve">15,525.00%</w:t>
      </w:r>
      <w:r>
        <w:rPr>
          <w:rFonts w:ascii="Arial" w:cs="Arial" w:eastAsia="Arial" w:hAnsi="Arial"/>
          <w:sz w:val="21"/>
          <w:szCs w:val="21"/>
        </w:rPr>
        <w:t xml:space="preserve"/>
      </w:r>
    </w:p>
    <w:p>
      <w:pPr>
        <w:pStyle w:val="ListParagraph"/>
        <w:numPr>
          <w:ilvl w:val="0"/>
          <w:numId w:val="2"/>
        </w:numPr>
        <w:spacing w:after="70" w:line="264"/>
      </w:pPr>
      <w:r>
        <w:rPr>
          <w:rFonts w:ascii="Arial" w:cs="Arial" w:eastAsia="Arial" w:hAnsi="Arial"/>
          <w:sz w:val="21"/>
          <w:szCs w:val="21"/>
        </w:rPr>
        <w:t xml:space="preserve">ROI on Year-1 total cost = ($23,437,500 - $175,000) / $175,000 = </w:t>
      </w:r>
      <w:r>
        <w:rPr>
          <w:rFonts w:ascii="Arial" w:cs="Arial" w:eastAsia="Arial" w:hAnsi="Arial"/>
          <w:b/>
          <w:bCs/>
          <w:sz w:val="21"/>
          <w:szCs w:val="21"/>
        </w:rPr>
        <w:t xml:space="preserve">13,292.86%</w:t>
      </w:r>
      <w:r>
        <w:rPr>
          <w:rFonts w:ascii="Arial" w:cs="Arial" w:eastAsia="Arial" w:hAnsi="Arial"/>
          <w:sz w:val="21"/>
          <w:szCs w:val="21"/>
        </w:rPr>
        <w:t xml:space="preserve"/>
      </w:r>
    </w:p>
    <w:p>
      <w:pPr>
        <w:pStyle w:val="ListParagraph"/>
        <w:numPr>
          <w:ilvl w:val="0"/>
          <w:numId w:val="2"/>
        </w:numPr>
        <w:spacing w:after="70" w:line="264"/>
      </w:pPr>
      <w:r>
        <w:rPr>
          <w:rFonts w:ascii="Arial" w:cs="Arial" w:eastAsia="Arial" w:hAnsi="Arial"/>
          <w:sz w:val="21"/>
          <w:szCs w:val="21"/>
        </w:rPr>
        <w:t xml:space="preserve">Payback = $150,000 / ($23,437,500 - $25,000) = 0.0064 years = </w:t>
      </w:r>
      <w:r>
        <w:rPr>
          <w:rFonts w:ascii="Arial" w:cs="Arial" w:eastAsia="Arial" w:hAnsi="Arial"/>
          <w:b/>
          <w:bCs/>
          <w:sz w:val="21"/>
          <w:szCs w:val="21"/>
        </w:rPr>
        <w:t xml:space="preserve">2.3 days</w:t>
      </w:r>
      <w:r>
        <w:rPr>
          <w:rFonts w:ascii="Arial" w:cs="Arial" w:eastAsia="Arial" w:hAnsi="Arial"/>
          <w:sz w:val="21"/>
          <w:szCs w:val="21"/>
        </w:rPr>
        <w:t xml:space="preserve"/>
      </w:r>
    </w:p>
    <w:p>
      <w:pPr>
        <w:pStyle w:val="Heading2"/>
        <w:keepNext/>
        <w:spacing w:after="100" w:before="220"/>
      </w:pPr>
      <w:r>
        <w:rPr>
          <w:rFonts w:ascii="Arial" w:cs="Arial" w:eastAsia="Arial" w:hAnsi="Arial"/>
          <w:b/>
          <w:bCs/>
          <w:color w:val="2E86C1"/>
          <w:sz w:val="24"/>
          <w:szCs w:val="24"/>
        </w:rPr>
        <w:t xml:space="preserve">MFA Enhancement: mitigates Session Hijacking</w:t>
      </w:r>
    </w:p>
    <w:p>
      <w:pPr>
        <w:pStyle w:val="ListParagraph"/>
        <w:numPr>
          <w:ilvl w:val="0"/>
          <w:numId w:val="2"/>
        </w:numPr>
        <w:spacing w:after="70" w:line="264"/>
      </w:pPr>
      <w:r>
        <w:rPr>
          <w:rFonts w:ascii="Arial" w:cs="Arial" w:eastAsia="Arial" w:hAnsi="Arial"/>
          <w:sz w:val="21"/>
          <w:szCs w:val="21"/>
        </w:rPr>
        <w:t xml:space="preserve">Parameters: initial $200,000 | maintenance $30,000 per year | effectiveness 95%</w:t>
      </w:r>
    </w:p>
    <w:p>
      <w:pPr>
        <w:pStyle w:val="ListParagraph"/>
        <w:numPr>
          <w:ilvl w:val="0"/>
          <w:numId w:val="2"/>
        </w:numPr>
        <w:spacing w:after="70" w:line="264"/>
      </w:pPr>
      <w:r>
        <w:rPr>
          <w:rFonts w:ascii="Arial" w:cs="Arial" w:eastAsia="Arial" w:hAnsi="Arial"/>
          <w:sz w:val="21"/>
          <w:szCs w:val="21"/>
        </w:rPr>
        <w:t xml:space="preserve">Inherent ALE $3,000,000; residual ALE = $3,000,000 x (1 - 0.95) = $150,000</w:t>
      </w:r>
    </w:p>
    <w:p>
      <w:pPr>
        <w:pStyle w:val="ListParagraph"/>
        <w:numPr>
          <w:ilvl w:val="0"/>
          <w:numId w:val="2"/>
        </w:numPr>
        <w:spacing w:after="70" w:line="264"/>
      </w:pPr>
      <w:r>
        <w:rPr>
          <w:rFonts w:ascii="Arial" w:cs="Arial" w:eastAsia="Arial" w:hAnsi="Arial"/>
          <w:sz w:val="21"/>
          <w:szCs w:val="21"/>
        </w:rPr>
        <w:t xml:space="preserve">Annual risk reduction = $3,000,000 x 0.95 = </w:t>
      </w:r>
      <w:r>
        <w:rPr>
          <w:rFonts w:ascii="Arial" w:cs="Arial" w:eastAsia="Arial" w:hAnsi="Arial"/>
          <w:b/>
          <w:bCs/>
          <w:sz w:val="21"/>
          <w:szCs w:val="21"/>
        </w:rPr>
        <w:t xml:space="preserve">$2,850,000</w:t>
      </w:r>
      <w:r>
        <w:rPr>
          <w:rFonts w:ascii="Arial" w:cs="Arial" w:eastAsia="Arial" w:hAnsi="Arial"/>
          <w:sz w:val="21"/>
          <w:szCs w:val="21"/>
        </w:rPr>
        <w:t xml:space="preserve"/>
      </w:r>
    </w:p>
    <w:p>
      <w:pPr>
        <w:pStyle w:val="ListParagraph"/>
        <w:numPr>
          <w:ilvl w:val="0"/>
          <w:numId w:val="2"/>
        </w:numPr>
        <w:spacing w:after="70" w:line="264"/>
      </w:pPr>
      <w:r>
        <w:rPr>
          <w:rFonts w:ascii="Arial" w:cs="Arial" w:eastAsia="Arial" w:hAnsi="Arial"/>
          <w:sz w:val="21"/>
          <w:szCs w:val="21"/>
        </w:rPr>
        <w:t xml:space="preserve">ROI on initial investment = ($2,850,000 - $200,000) / $200,000 = </w:t>
      </w:r>
      <w:r>
        <w:rPr>
          <w:rFonts w:ascii="Arial" w:cs="Arial" w:eastAsia="Arial" w:hAnsi="Arial"/>
          <w:b/>
          <w:bCs/>
          <w:sz w:val="21"/>
          <w:szCs w:val="21"/>
        </w:rPr>
        <w:t xml:space="preserve">1,325.00%</w:t>
      </w:r>
      <w:r>
        <w:rPr>
          <w:rFonts w:ascii="Arial" w:cs="Arial" w:eastAsia="Arial" w:hAnsi="Arial"/>
          <w:sz w:val="21"/>
          <w:szCs w:val="21"/>
        </w:rPr>
        <w:t xml:space="preserve"/>
      </w:r>
    </w:p>
    <w:p>
      <w:pPr>
        <w:pStyle w:val="ListParagraph"/>
        <w:numPr>
          <w:ilvl w:val="0"/>
          <w:numId w:val="2"/>
        </w:numPr>
        <w:spacing w:after="70" w:line="264"/>
      </w:pPr>
      <w:r>
        <w:rPr>
          <w:rFonts w:ascii="Arial" w:cs="Arial" w:eastAsia="Arial" w:hAnsi="Arial"/>
          <w:sz w:val="21"/>
          <w:szCs w:val="21"/>
        </w:rPr>
        <w:t xml:space="preserve">ROI on Year-1 total cost = ($2,850,000 - $230,000) / $230,000 = </w:t>
      </w:r>
      <w:r>
        <w:rPr>
          <w:rFonts w:ascii="Arial" w:cs="Arial" w:eastAsia="Arial" w:hAnsi="Arial"/>
          <w:b/>
          <w:bCs/>
          <w:sz w:val="21"/>
          <w:szCs w:val="21"/>
        </w:rPr>
        <w:t xml:space="preserve">1,139.13%</w:t>
      </w:r>
      <w:r>
        <w:rPr>
          <w:rFonts w:ascii="Arial" w:cs="Arial" w:eastAsia="Arial" w:hAnsi="Arial"/>
          <w:sz w:val="21"/>
          <w:szCs w:val="21"/>
        </w:rPr>
        <w:t xml:space="preserve"/>
      </w:r>
    </w:p>
    <w:p>
      <w:pPr>
        <w:pStyle w:val="ListParagraph"/>
        <w:numPr>
          <w:ilvl w:val="0"/>
          <w:numId w:val="2"/>
        </w:numPr>
        <w:spacing w:after="70" w:line="264"/>
      </w:pPr>
      <w:r>
        <w:rPr>
          <w:rFonts w:ascii="Arial" w:cs="Arial" w:eastAsia="Arial" w:hAnsi="Arial"/>
          <w:sz w:val="21"/>
          <w:szCs w:val="21"/>
        </w:rPr>
        <w:t xml:space="preserve">Payback = $200,000 / ($2,850,000 - $30,000) = 0.0709 years = </w:t>
      </w:r>
      <w:r>
        <w:rPr>
          <w:rFonts w:ascii="Arial" w:cs="Arial" w:eastAsia="Arial" w:hAnsi="Arial"/>
          <w:b/>
          <w:bCs/>
          <w:sz w:val="21"/>
          <w:szCs w:val="21"/>
        </w:rPr>
        <w:t xml:space="preserve">25.9 days</w:t>
      </w:r>
      <w:r>
        <w:rPr>
          <w:rFonts w:ascii="Arial" w:cs="Arial" w:eastAsia="Arial" w:hAnsi="Arial"/>
          <w:sz w:val="21"/>
          <w:szCs w:val="21"/>
        </w:rPr>
        <w:t xml:space="preserve"/>
      </w:r>
    </w:p>
    <w:p>
      <w:pPr>
        <w:pStyle w:val="Heading2"/>
        <w:keepNext/>
        <w:spacing w:after="100" w:before="220"/>
      </w:pPr>
      <w:r>
        <w:rPr>
          <w:rFonts w:ascii="Arial" w:cs="Arial" w:eastAsia="Arial" w:hAnsi="Arial"/>
          <w:b/>
          <w:bCs/>
          <w:color w:val="2E86C1"/>
          <w:sz w:val="24"/>
          <w:szCs w:val="24"/>
        </w:rPr>
        <w:t xml:space="preserve">Advanced API Security Gateway: mitigates API Authentication Bypass</w:t>
      </w:r>
    </w:p>
    <w:p>
      <w:pPr>
        <w:pStyle w:val="ListParagraph"/>
        <w:numPr>
          <w:ilvl w:val="0"/>
          <w:numId w:val="2"/>
        </w:numPr>
        <w:spacing w:after="70" w:line="264"/>
      </w:pPr>
      <w:r>
        <w:rPr>
          <w:rFonts w:ascii="Arial" w:cs="Arial" w:eastAsia="Arial" w:hAnsi="Arial"/>
          <w:sz w:val="21"/>
          <w:szCs w:val="21"/>
        </w:rPr>
        <w:t xml:space="preserve">Parameters: initial $350,000 | maintenance $50,000 per year | effectiveness 90%</w:t>
      </w:r>
    </w:p>
    <w:p>
      <w:pPr>
        <w:pStyle w:val="ListParagraph"/>
        <w:numPr>
          <w:ilvl w:val="0"/>
          <w:numId w:val="2"/>
        </w:numPr>
        <w:spacing w:after="70" w:line="264"/>
      </w:pPr>
      <w:r>
        <w:rPr>
          <w:rFonts w:ascii="Arial" w:cs="Arial" w:eastAsia="Arial" w:hAnsi="Arial"/>
          <w:sz w:val="21"/>
          <w:szCs w:val="21"/>
        </w:rPr>
        <w:t xml:space="preserve">Inherent ALE $750,000; residual ALE = $750,000 x (1 - 0.90) = $75,000</w:t>
      </w:r>
    </w:p>
    <w:p>
      <w:pPr>
        <w:pStyle w:val="ListParagraph"/>
        <w:numPr>
          <w:ilvl w:val="0"/>
          <w:numId w:val="2"/>
        </w:numPr>
        <w:spacing w:after="70" w:line="264"/>
      </w:pPr>
      <w:r>
        <w:rPr>
          <w:rFonts w:ascii="Arial" w:cs="Arial" w:eastAsia="Arial" w:hAnsi="Arial"/>
          <w:sz w:val="21"/>
          <w:szCs w:val="21"/>
        </w:rPr>
        <w:t xml:space="preserve">Annual risk reduction = $750,000 x 0.90 = </w:t>
      </w:r>
      <w:r>
        <w:rPr>
          <w:rFonts w:ascii="Arial" w:cs="Arial" w:eastAsia="Arial" w:hAnsi="Arial"/>
          <w:b/>
          <w:bCs/>
          <w:sz w:val="21"/>
          <w:szCs w:val="21"/>
        </w:rPr>
        <w:t xml:space="preserve">$675,000</w:t>
      </w:r>
      <w:r>
        <w:rPr>
          <w:rFonts w:ascii="Arial" w:cs="Arial" w:eastAsia="Arial" w:hAnsi="Arial"/>
          <w:sz w:val="21"/>
          <w:szCs w:val="21"/>
        </w:rPr>
        <w:t xml:space="preserve"/>
      </w:r>
    </w:p>
    <w:p>
      <w:pPr>
        <w:pStyle w:val="ListParagraph"/>
        <w:numPr>
          <w:ilvl w:val="0"/>
          <w:numId w:val="2"/>
        </w:numPr>
        <w:spacing w:after="70" w:line="264"/>
      </w:pPr>
      <w:r>
        <w:rPr>
          <w:rFonts w:ascii="Arial" w:cs="Arial" w:eastAsia="Arial" w:hAnsi="Arial"/>
          <w:sz w:val="21"/>
          <w:szCs w:val="21"/>
        </w:rPr>
        <w:t xml:space="preserve">ROI on initial investment = ($675,000 - $350,000) / $350,000 = </w:t>
      </w:r>
      <w:r>
        <w:rPr>
          <w:rFonts w:ascii="Arial" w:cs="Arial" w:eastAsia="Arial" w:hAnsi="Arial"/>
          <w:b/>
          <w:bCs/>
          <w:sz w:val="21"/>
          <w:szCs w:val="21"/>
        </w:rPr>
        <w:t xml:space="preserve">92.86%</w:t>
      </w:r>
      <w:r>
        <w:rPr>
          <w:rFonts w:ascii="Arial" w:cs="Arial" w:eastAsia="Arial" w:hAnsi="Arial"/>
          <w:sz w:val="21"/>
          <w:szCs w:val="21"/>
        </w:rPr>
        <w:t xml:space="preserve"/>
      </w:r>
    </w:p>
    <w:p>
      <w:pPr>
        <w:pStyle w:val="ListParagraph"/>
        <w:numPr>
          <w:ilvl w:val="0"/>
          <w:numId w:val="2"/>
        </w:numPr>
        <w:spacing w:after="70" w:line="264"/>
      </w:pPr>
      <w:r>
        <w:rPr>
          <w:rFonts w:ascii="Arial" w:cs="Arial" w:eastAsia="Arial" w:hAnsi="Arial"/>
          <w:sz w:val="21"/>
          <w:szCs w:val="21"/>
        </w:rPr>
        <w:t xml:space="preserve">ROI on Year-1 total cost = ($675,000 - $400,000) / $400,000 = </w:t>
      </w:r>
      <w:r>
        <w:rPr>
          <w:rFonts w:ascii="Arial" w:cs="Arial" w:eastAsia="Arial" w:hAnsi="Arial"/>
          <w:b/>
          <w:bCs/>
          <w:sz w:val="21"/>
          <w:szCs w:val="21"/>
        </w:rPr>
        <w:t xml:space="preserve">68.75%</w:t>
      </w:r>
      <w:r>
        <w:rPr>
          <w:rFonts w:ascii="Arial" w:cs="Arial" w:eastAsia="Arial" w:hAnsi="Arial"/>
          <w:sz w:val="21"/>
          <w:szCs w:val="21"/>
        </w:rPr>
        <w:t xml:space="preserve"/>
      </w:r>
    </w:p>
    <w:p>
      <w:pPr>
        <w:pStyle w:val="ListParagraph"/>
        <w:numPr>
          <w:ilvl w:val="0"/>
          <w:numId w:val="2"/>
        </w:numPr>
        <w:spacing w:after="70" w:line="264"/>
      </w:pPr>
      <w:r>
        <w:rPr>
          <w:rFonts w:ascii="Arial" w:cs="Arial" w:eastAsia="Arial" w:hAnsi="Arial"/>
          <w:sz w:val="21"/>
          <w:szCs w:val="21"/>
        </w:rPr>
        <w:t xml:space="preserve">Payback = $350,000 / ($675,000 - $50,000) = 0.5600 years = </w:t>
      </w:r>
      <w:r>
        <w:rPr>
          <w:rFonts w:ascii="Arial" w:cs="Arial" w:eastAsia="Arial" w:hAnsi="Arial"/>
          <w:b/>
          <w:bCs/>
          <w:sz w:val="21"/>
          <w:szCs w:val="21"/>
        </w:rPr>
        <w:t xml:space="preserve">6.7 months</w:t>
      </w:r>
      <w:r>
        <w:rPr>
          <w:rFonts w:ascii="Arial" w:cs="Arial" w:eastAsia="Arial" w:hAnsi="Arial"/>
          <w:sz w:val="21"/>
          <w:szCs w:val="21"/>
        </w:rPr>
        <w:t xml:space="preserve"/>
      </w:r>
    </w:p>
    <w:p>
      <w:pPr>
        <w:spacing w:after="60" w:line="276"/>
      </w:pPr>
      <w:r>
        <w:rPr>
          <w:rFonts w:ascii="Arial" w:cs="Arial" w:eastAsia="Arial" w:hAnsi="Arial"/>
          <w:sz w:val="21"/>
          <w:szCs w:val="21"/>
        </w:rPr>
        <w:t xml:space="preserve"/>
      </w:r>
    </w:p>
    <w:p>
      <w:pPr>
        <w:keepNext/>
        <w:spacing w:after="120" w:line="276"/>
      </w:pPr>
      <w:r>
        <w:rPr>
          <w:rFonts w:ascii="Arial" w:cs="Arial" w:eastAsia="Arial" w:hAnsi="Arial"/>
          <w:sz w:val="21"/>
          <w:szCs w:val="21"/>
        </w:rPr>
        <w:t xml:space="preserve"/>
      </w:r>
      <w:r>
        <w:rPr>
          <w:rFonts w:ascii="Arial" w:cs="Arial" w:eastAsia="Arial" w:hAnsi="Arial"/>
          <w:b/>
          <w:bCs/>
          <w:sz w:val="21"/>
          <w:szCs w:val="21"/>
        </w:rPr>
        <w:t xml:space="preserve">Table 2. Control cost-benefit worksheet</w:t>
      </w:r>
      <w:r>
        <w:rPr>
          <w:rFonts w:ascii="Arial" w:cs="Arial" w:eastAsia="Arial" w:hAnsi="Arial"/>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50"/>
        <w:gridCol w:w="950"/>
        <w:gridCol w:w="800"/>
        <w:gridCol w:w="1250"/>
        <w:gridCol w:w="1150"/>
        <w:gridCol w:w="1100"/>
        <w:gridCol w:w="1360"/>
      </w:tblGrid>
      <w:tr>
        <w:trPr>
          <w:tblHeader/>
        </w:trPr>
        <w:tc>
          <w:tcPr>
            <w:tcW w:type="dxa" w:w="18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center"/>
            </w:pPr>
            <w:r>
              <w:rPr>
                <w:rFonts w:ascii="Arial" w:cs="Arial" w:eastAsia="Arial" w:hAnsi="Arial"/>
                <w:b/>
                <w:bCs/>
                <w:color w:val="FFFFFF"/>
                <w:sz w:val="17"/>
                <w:szCs w:val="17"/>
              </w:rPr>
              <w:t xml:space="preserve">Control</w:t>
            </w:r>
          </w:p>
        </w:tc>
        <w:tc>
          <w:tcPr>
            <w:tcW w:type="dxa" w:w="95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center"/>
            </w:pPr>
            <w:r>
              <w:rPr>
                <w:rFonts w:ascii="Arial" w:cs="Arial" w:eastAsia="Arial" w:hAnsi="Arial"/>
                <w:b/>
                <w:bCs/>
                <w:color w:val="FFFFFF"/>
                <w:sz w:val="17"/>
                <w:szCs w:val="17"/>
              </w:rPr>
              <w:t xml:space="preserve">CapEx</w:t>
            </w:r>
          </w:p>
        </w:tc>
        <w:tc>
          <w:tcPr>
            <w:tcW w:type="dxa" w:w="95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center"/>
            </w:pPr>
            <w:r>
              <w:rPr>
                <w:rFonts w:ascii="Arial" w:cs="Arial" w:eastAsia="Arial" w:hAnsi="Arial"/>
                <w:b/>
                <w:bCs/>
                <w:color w:val="FFFFFF"/>
                <w:sz w:val="17"/>
                <w:szCs w:val="17"/>
              </w:rPr>
              <w:t xml:space="preserve">OpEx / yr</w:t>
            </w:r>
          </w:p>
        </w:tc>
        <w:tc>
          <w:tcPr>
            <w:tcW w:type="dxa" w:w="8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center"/>
            </w:pPr>
            <w:r>
              <w:rPr>
                <w:rFonts w:ascii="Arial" w:cs="Arial" w:eastAsia="Arial" w:hAnsi="Arial"/>
                <w:b/>
                <w:bCs/>
                <w:color w:val="FFFFFF"/>
                <w:sz w:val="17"/>
                <w:szCs w:val="17"/>
              </w:rPr>
              <w:t xml:space="preserve">Eff.</w:t>
            </w:r>
          </w:p>
        </w:tc>
        <w:tc>
          <w:tcPr>
            <w:tcW w:type="dxa" w:w="125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center"/>
            </w:pPr>
            <w:r>
              <w:rPr>
                <w:rFonts w:ascii="Arial" w:cs="Arial" w:eastAsia="Arial" w:hAnsi="Arial"/>
                <w:b/>
                <w:bCs/>
                <w:color w:val="FFFFFF"/>
                <w:sz w:val="17"/>
                <w:szCs w:val="17"/>
              </w:rPr>
              <w:t xml:space="preserve">Risk reduction</w:t>
            </w:r>
          </w:p>
        </w:tc>
        <w:tc>
          <w:tcPr>
            <w:tcW w:type="dxa" w:w="115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center"/>
            </w:pPr>
            <w:r>
              <w:rPr>
                <w:rFonts w:ascii="Arial" w:cs="Arial" w:eastAsia="Arial" w:hAnsi="Arial"/>
                <w:b/>
                <w:bCs/>
                <w:color w:val="FFFFFF"/>
                <w:sz w:val="17"/>
                <w:szCs w:val="17"/>
              </w:rPr>
              <w:t xml:space="preserve">Residual ALE</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center"/>
            </w:pPr>
            <w:r>
              <w:rPr>
                <w:rFonts w:ascii="Arial" w:cs="Arial" w:eastAsia="Arial" w:hAnsi="Arial"/>
                <w:b/>
                <w:bCs/>
                <w:color w:val="FFFFFF"/>
                <w:sz w:val="17"/>
                <w:szCs w:val="17"/>
              </w:rPr>
              <w:t xml:space="preserve">ROI (initial)</w:t>
            </w:r>
          </w:p>
        </w:tc>
        <w:tc>
          <w:tcPr>
            <w:tcW w:type="dxa" w:w="136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center"/>
            </w:pPr>
            <w:r>
              <w:rPr>
                <w:rFonts w:ascii="Arial" w:cs="Arial" w:eastAsia="Arial" w:hAnsi="Arial"/>
                <w:b/>
                <w:bCs/>
                <w:color w:val="FFFFFF"/>
                <w:sz w:val="17"/>
                <w:szCs w:val="17"/>
              </w:rPr>
              <w:t xml:space="preserve">Payback</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Web Application Firewall (WAF)</w:t>
            </w:r>
          </w:p>
        </w:tc>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$150,000</w:t>
            </w:r>
          </w:p>
        </w:tc>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$25,000</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75%</w:t>
            </w:r>
          </w:p>
        </w:tc>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$23,437,500</w:t>
            </w:r>
          </w:p>
        </w:tc>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$7,812,500</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15,525.0%</w:t>
            </w:r>
          </w:p>
        </w:tc>
        <w:tc>
          <w:tcPr>
            <w:tcW w:type="dxa" w:w="13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2.3 days</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MFA Enhancement</w:t>
            </w:r>
          </w:p>
        </w:tc>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$200,000</w:t>
            </w:r>
          </w:p>
        </w:tc>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$30,000</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95%</w:t>
            </w:r>
          </w:p>
        </w:tc>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$2,850,000</w:t>
            </w:r>
          </w:p>
        </w:tc>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$150,000</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1,325.0%</w:t>
            </w:r>
          </w:p>
        </w:tc>
        <w:tc>
          <w:tcPr>
            <w:tcW w:type="dxa" w:w="13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25.9 days</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Advanced API Security Gateway</w:t>
            </w:r>
          </w:p>
        </w:tc>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$350,000</w:t>
            </w:r>
          </w:p>
        </w:tc>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$50,000</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90%</w:t>
            </w:r>
          </w:p>
        </w:tc>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$675,000</w:t>
            </w:r>
          </w:p>
        </w:tc>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$75,000</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92.9%</w:t>
            </w:r>
          </w:p>
        </w:tc>
        <w:tc>
          <w:tcPr>
            <w:tcW w:type="dxa" w:w="13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6.7 mo</w:t>
            </w:r>
          </w:p>
        </w:tc>
      </w:tr>
      <w:tr>
        <w:trPr>
          <w:cantSplit/>
        </w:trPr>
        <w:tc>
          <w:tcPr>
            <w:tcW w:type="dxa" w:w="1800"/>
            <w:tcBorders>
              <w:top w:val="single" w:color="BFBFBF" w:sz="4"/>
              <w:left w:val="single" w:color="BFBFBF" w:sz="4"/>
              <w:bottom w:val="single" w:color="BFBFBF" w:sz="4"/>
              <w:right w:val="single" w:color="BFBFBF" w:sz="4"/>
            </w:tcBorders>
            <w:shd w:fill="EEF3F9" w:color="auto" w:val="clear"/>
            <w:tcMar>
              <w:top w:type="dxa" w:w="60"/>
              <w:left w:type="dxa" w:w="90"/>
              <w:bottom w:type="dxa" w:w="60"/>
              <w:right w:type="dxa" w:w="90"/>
            </w:tcMar>
          </w:tcPr>
          <w:p>
            <w:pPr>
              <w:jc w:val="left"/>
            </w:pPr>
            <w:r>
              <w:rPr>
                <w:rFonts w:ascii="Arial" w:cs="Arial" w:eastAsia="Arial" w:hAnsi="Arial"/>
                <w:b/>
                <w:bCs/>
                <w:sz w:val="17"/>
                <w:szCs w:val="17"/>
              </w:rPr>
              <w:t xml:space="preserve">Total portfolio</w:t>
            </w:r>
          </w:p>
        </w:tc>
        <w:tc>
          <w:tcPr>
            <w:tcW w:type="dxa" w:w="950"/>
            <w:tcBorders>
              <w:top w:val="single" w:color="BFBFBF" w:sz="4"/>
              <w:left w:val="single" w:color="BFBFBF" w:sz="4"/>
              <w:bottom w:val="single" w:color="BFBFBF" w:sz="4"/>
              <w:right w:val="single" w:color="BFBFBF" w:sz="4"/>
            </w:tcBorders>
            <w:shd w:fill="EEF3F9" w:color="auto" w:val="clear"/>
            <w:tcMar>
              <w:top w:type="dxa" w:w="60"/>
              <w:left w:type="dxa" w:w="90"/>
              <w:bottom w:type="dxa" w:w="60"/>
              <w:right w:type="dxa" w:w="90"/>
            </w:tcMar>
          </w:tcPr>
          <w:p>
            <w:pPr>
              <w:jc w:val="left"/>
            </w:pPr>
            <w:r>
              <w:rPr>
                <w:rFonts w:ascii="Arial" w:cs="Arial" w:eastAsia="Arial" w:hAnsi="Arial"/>
                <w:b/>
                <w:bCs/>
                <w:sz w:val="17"/>
                <w:szCs w:val="17"/>
              </w:rPr>
              <w:t xml:space="preserve">$700,000</w:t>
            </w:r>
          </w:p>
        </w:tc>
        <w:tc>
          <w:tcPr>
            <w:tcW w:type="dxa" w:w="950"/>
            <w:tcBorders>
              <w:top w:val="single" w:color="BFBFBF" w:sz="4"/>
              <w:left w:val="single" w:color="BFBFBF" w:sz="4"/>
              <w:bottom w:val="single" w:color="BFBFBF" w:sz="4"/>
              <w:right w:val="single" w:color="BFBFBF" w:sz="4"/>
            </w:tcBorders>
            <w:shd w:fill="EEF3F9" w:color="auto" w:val="clear"/>
            <w:tcMar>
              <w:top w:type="dxa" w:w="60"/>
              <w:left w:type="dxa" w:w="90"/>
              <w:bottom w:type="dxa" w:w="60"/>
              <w:right w:type="dxa" w:w="90"/>
            </w:tcMar>
          </w:tcPr>
          <w:p>
            <w:pPr>
              <w:jc w:val="left"/>
            </w:pPr>
            <w:r>
              <w:rPr>
                <w:rFonts w:ascii="Arial" w:cs="Arial" w:eastAsia="Arial" w:hAnsi="Arial"/>
                <w:b/>
                <w:bCs/>
                <w:sz w:val="17"/>
                <w:szCs w:val="17"/>
              </w:rPr>
              <w:t xml:space="preserve">$105,000</w:t>
            </w:r>
          </w:p>
        </w:tc>
        <w:tc>
          <w:tcPr>
            <w:tcW w:type="dxa" w:w="800"/>
            <w:tcBorders>
              <w:top w:val="single" w:color="BFBFBF" w:sz="4"/>
              <w:left w:val="single" w:color="BFBFBF" w:sz="4"/>
              <w:bottom w:val="single" w:color="BFBFBF" w:sz="4"/>
              <w:right w:val="single" w:color="BFBFBF" w:sz="4"/>
            </w:tcBorders>
            <w:shd w:fill="EEF3F9" w:color="auto" w:val="clear"/>
            <w:tcMar>
              <w:top w:type="dxa" w:w="60"/>
              <w:left w:type="dxa" w:w="90"/>
              <w:bottom w:type="dxa" w:w="60"/>
              <w:right w:type="dxa" w:w="90"/>
            </w:tcMar>
          </w:tcPr>
          <w:p>
            <w:pPr>
              <w:jc w:val="left"/>
            </w:pPr>
            <w:r>
              <w:rPr>
                <w:rFonts w:ascii="Arial" w:cs="Arial" w:eastAsia="Arial" w:hAnsi="Arial"/>
                <w:b/>
                <w:bCs/>
                <w:sz w:val="17"/>
                <w:szCs w:val="17"/>
              </w:rPr>
              <w:t xml:space="preserve">77.0%</w:t>
            </w:r>
          </w:p>
        </w:tc>
        <w:tc>
          <w:tcPr>
            <w:tcW w:type="dxa" w:w="1250"/>
            <w:tcBorders>
              <w:top w:val="single" w:color="BFBFBF" w:sz="4"/>
              <w:left w:val="single" w:color="BFBFBF" w:sz="4"/>
              <w:bottom w:val="single" w:color="BFBFBF" w:sz="4"/>
              <w:right w:val="single" w:color="BFBFBF" w:sz="4"/>
            </w:tcBorders>
            <w:shd w:fill="EEF3F9" w:color="auto" w:val="clear"/>
            <w:tcMar>
              <w:top w:type="dxa" w:w="60"/>
              <w:left w:type="dxa" w:w="90"/>
              <w:bottom w:type="dxa" w:w="60"/>
              <w:right w:type="dxa" w:w="90"/>
            </w:tcMar>
          </w:tcPr>
          <w:p>
            <w:pPr>
              <w:jc w:val="left"/>
            </w:pPr>
            <w:r>
              <w:rPr>
                <w:rFonts w:ascii="Arial" w:cs="Arial" w:eastAsia="Arial" w:hAnsi="Arial"/>
                <w:b/>
                <w:bCs/>
                <w:sz w:val="17"/>
                <w:szCs w:val="17"/>
              </w:rPr>
              <w:t xml:space="preserve">$26,962,500</w:t>
            </w:r>
          </w:p>
        </w:tc>
        <w:tc>
          <w:tcPr>
            <w:tcW w:type="dxa" w:w="1150"/>
            <w:tcBorders>
              <w:top w:val="single" w:color="BFBFBF" w:sz="4"/>
              <w:left w:val="single" w:color="BFBFBF" w:sz="4"/>
              <w:bottom w:val="single" w:color="BFBFBF" w:sz="4"/>
              <w:right w:val="single" w:color="BFBFBF" w:sz="4"/>
            </w:tcBorders>
            <w:shd w:fill="EEF3F9" w:color="auto" w:val="clear"/>
            <w:tcMar>
              <w:top w:type="dxa" w:w="60"/>
              <w:left w:type="dxa" w:w="90"/>
              <w:bottom w:type="dxa" w:w="60"/>
              <w:right w:type="dxa" w:w="90"/>
            </w:tcMar>
          </w:tcPr>
          <w:p>
            <w:pPr>
              <w:jc w:val="left"/>
            </w:pPr>
            <w:r>
              <w:rPr>
                <w:rFonts w:ascii="Arial" w:cs="Arial" w:eastAsia="Arial" w:hAnsi="Arial"/>
                <w:b/>
                <w:bCs/>
                <w:sz w:val="17"/>
                <w:szCs w:val="17"/>
              </w:rPr>
              <w:t xml:space="preserve">$8,037,500</w:t>
            </w:r>
          </w:p>
        </w:tc>
        <w:tc>
          <w:tcPr>
            <w:tcW w:type="dxa" w:w="1100"/>
            <w:tcBorders>
              <w:top w:val="single" w:color="BFBFBF" w:sz="4"/>
              <w:left w:val="single" w:color="BFBFBF" w:sz="4"/>
              <w:bottom w:val="single" w:color="BFBFBF" w:sz="4"/>
              <w:right w:val="single" w:color="BFBFBF" w:sz="4"/>
            </w:tcBorders>
            <w:shd w:fill="EEF3F9" w:color="auto" w:val="clear"/>
            <w:tcMar>
              <w:top w:type="dxa" w:w="60"/>
              <w:left w:type="dxa" w:w="90"/>
              <w:bottom w:type="dxa" w:w="60"/>
              <w:right w:type="dxa" w:w="90"/>
            </w:tcMar>
          </w:tcPr>
          <w:p>
            <w:pPr>
              <w:jc w:val="left"/>
            </w:pPr>
            <w:r>
              <w:rPr>
                <w:rFonts w:ascii="Arial" w:cs="Arial" w:eastAsia="Arial" w:hAnsi="Arial"/>
                <w:b/>
                <w:bCs/>
                <w:sz w:val="17"/>
                <w:szCs w:val="17"/>
              </w:rPr>
              <w:t xml:space="preserve">3,751.8%</w:t>
            </w:r>
          </w:p>
        </w:tc>
        <w:tc>
          <w:tcPr>
            <w:tcW w:type="dxa" w:w="1360"/>
            <w:tcBorders>
              <w:top w:val="single" w:color="BFBFBF" w:sz="4"/>
              <w:left w:val="single" w:color="BFBFBF" w:sz="4"/>
              <w:bottom w:val="single" w:color="BFBFBF" w:sz="4"/>
              <w:right w:val="single" w:color="BFBFBF" w:sz="4"/>
            </w:tcBorders>
            <w:shd w:fill="EEF3F9" w:color="auto" w:val="clear"/>
            <w:tcMar>
              <w:top w:type="dxa" w:w="60"/>
              <w:left w:type="dxa" w:w="90"/>
              <w:bottom w:type="dxa" w:w="60"/>
              <w:right w:type="dxa" w:w="90"/>
            </w:tcMar>
          </w:tcPr>
          <w:p>
            <w:pPr>
              <w:jc w:val="left"/>
            </w:pPr>
            <w:r>
              <w:rPr>
                <w:rFonts w:ascii="Arial" w:cs="Arial" w:eastAsia="Arial" w:hAnsi="Arial"/>
                <w:b/>
                <w:bCs/>
                <w:sz w:val="17"/>
                <w:szCs w:val="17"/>
              </w:rPr>
              <w:t xml:space="preserve">9.5 days</w:t>
            </w:r>
          </w:p>
        </w:tc>
      </w:tr>
    </w:tbl>
    <w:p>
      <w:pPr>
        <w:spacing w:after="60" w:line="276"/>
      </w:pPr>
      <w:r>
        <w:rPr>
          <w:rFonts w:ascii="Arial" w:cs="Arial" w:eastAsia="Arial" w:hAnsi="Arial"/>
          <w:sz w:val="21"/>
          <w:szCs w:val="21"/>
        </w:rPr>
        <w:t xml:space="preserve"/>
      </w:r>
    </w:p>
    <w:p>
      <w:pPr>
        <w:spacing w:after="80" w:line="276"/>
      </w:pPr>
      <w:r>
        <w:rPr>
          <w:rFonts w:ascii="Arial" w:cs="Arial" w:eastAsia="Arial" w:hAnsi="Arial"/>
          <w:sz w:val="21"/>
          <w:szCs w:val="21"/>
        </w:rPr>
        <w:t xml:space="preserve">Putting it together: the net yearly benefit is $26,962,500 - $105,000 = $26,857,500, so the payback is $700,000 / $26,857,500 = 0.0261 years, about </w:t>
      </w:r>
      <w:r>
        <w:rPr>
          <w:rFonts w:ascii="Arial" w:cs="Arial" w:eastAsia="Arial" w:hAnsi="Arial"/>
          <w:b/>
          <w:bCs/>
          <w:sz w:val="21"/>
          <w:szCs w:val="21"/>
        </w:rPr>
        <w:t xml:space="preserve">9.5 days</w:t>
      </w:r>
      <w:r>
        <w:rPr>
          <w:rFonts w:ascii="Arial" w:cs="Arial" w:eastAsia="Arial" w:hAnsi="Arial"/>
          <w:sz w:val="21"/>
          <w:szCs w:val="21"/>
        </w:rPr>
        <w:t xml:space="preserve">. ROI is 3,751.79% on the up-front cost and </w:t>
      </w:r>
      <w:r>
        <w:rPr>
          <w:rFonts w:ascii="Arial" w:cs="Arial" w:eastAsia="Arial" w:hAnsi="Arial"/>
          <w:b/>
          <w:bCs/>
          <w:sz w:val="21"/>
          <w:szCs w:val="21"/>
        </w:rPr>
        <w:t xml:space="preserve">3,249.38%</w:t>
      </w:r>
      <w:r>
        <w:rPr>
          <w:rFonts w:ascii="Arial" w:cs="Arial" w:eastAsia="Arial" w:hAnsi="Arial"/>
          <w:sz w:val="21"/>
          <w:szCs w:val="21"/>
        </w:rPr>
        <w:t xml:space="preserve"> on the full first-year cost. I show both because they answer slightly different questions.</w:t>
      </w:r>
    </w:p>
    <w:p>
      <w:pPr>
        <w:pStyle w:val="Heading1"/>
        <w:keepNext/>
        <w:spacing w:after="140" w:before="320"/>
      </w:pPr>
      <w:r>
        <w:rPr>
          <w:rFonts w:ascii="Arial" w:cs="Arial" w:eastAsia="Arial" w:hAnsi="Arial"/>
          <w:b/>
          <w:bCs/>
          <w:color w:val="1F3864"/>
          <w:sz w:val="30"/>
          <w:szCs w:val="30"/>
        </w:rPr>
        <w:t xml:space="preserve">6. Task 5: Control selection analysis</w:t>
      </w:r>
    </w:p>
    <w:p>
      <w:pPr>
        <w:keepNext/>
        <w:spacing w:after="60" w:before="120"/>
        <w:jc w:val="center"/>
      </w:pPr>
      <w:r>
        <w:drawing>
          <wp:inline distT="0" distB="0" distL="0" distR="0">
            <wp:extent cx="5143500" cy="2895600"/>
            <wp:effectExtent t="0" r="0" b="0" l="0"/>
            <wp:docPr id="1" name="charts/04_cost_vs_effectiveness.png" descr="charts/04_cost_vs_effectiveness.png" title="charts/04_cost_vs_effectiven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2895600"/>
                    </a:xfrm>
                    <a:prstGeom prst="rect">
                      <a:avLst/>
                    </a:prstGeom>
                  </pic:spPr>
                </pic:pic>
              </a:graphicData>
            </a:graphic>
          </wp:inline>
        </w:drawing>
      </w:r>
    </w:p>
    <w:p>
      <w:pPr>
        <w:spacing w:after="200" w:line="276"/>
        <w:jc w:val="center"/>
      </w:pPr>
      <w:r>
        <w:rPr>
          <w:rFonts w:ascii="Arial" w:cs="Arial" w:eastAsia="Arial" w:hAnsi="Arial"/>
          <w:i/>
          <w:iCs/>
          <w:color w:val="595959"/>
          <w:sz w:val="18"/>
          <w:szCs w:val="18"/>
        </w:rPr>
        <w:t xml:space="preserve">Figure 4. Cost vs effectiveness. MFA is the most effective (95%) at mid cost; the API gateway costs the most for the smallest reduction.</w:t>
      </w:r>
    </w:p>
    <w:p>
      <w:pPr>
        <w:keepNext/>
        <w:spacing w:after="60" w:before="120"/>
        <w:jc w:val="center"/>
      </w:pPr>
      <w:r>
        <w:drawing>
          <wp:inline distT="0" distB="0" distL="0" distR="0">
            <wp:extent cx="5143500" cy="2895600"/>
            <wp:effectExtent t="0" r="0" b="0" l="0"/>
            <wp:docPr id="1" name="charts/05_roi_horizontal.png" descr="charts/05_roi_horizontal.png" title="charts/05_roi_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2895600"/>
                    </a:xfrm>
                    <a:prstGeom prst="rect">
                      <a:avLst/>
                    </a:prstGeom>
                  </pic:spPr>
                </pic:pic>
              </a:graphicData>
            </a:graphic>
          </wp:inline>
        </w:drawing>
      </w:r>
    </w:p>
    <w:p>
      <w:pPr>
        <w:spacing w:after="200" w:line="276"/>
        <w:jc w:val="center"/>
      </w:pPr>
      <w:r>
        <w:rPr>
          <w:rFonts w:ascii="Arial" w:cs="Arial" w:eastAsia="Arial" w:hAnsi="Arial"/>
          <w:i/>
          <w:iCs/>
          <w:color w:val="595959"/>
          <w:sz w:val="18"/>
          <w:szCs w:val="18"/>
        </w:rPr>
        <w:t xml:space="preserve">Figure 5. ROI by control on a logarithmic scale. WAF returns the most per dollar; the API gateway still returns a positive 68.75% in Year 1.</w:t>
      </w:r>
    </w:p>
    <w:p>
      <w:pPr>
        <w:spacing w:after="120" w:line="276"/>
      </w:pPr>
      <w:r>
        <w:rPr>
          <w:rFonts w:ascii="Arial" w:cs="Arial" w:eastAsia="Arial" w:hAnsi="Arial"/>
          <w:sz w:val="21"/>
          <w:szCs w:val="21"/>
        </w:rPr>
        <w:t xml:space="preserve"/>
      </w:r>
      <w:r>
        <w:rPr>
          <w:rFonts w:ascii="Arial" w:cs="Arial" w:eastAsia="Arial" w:hAnsi="Arial"/>
          <w:b/>
          <w:bCs/>
          <w:sz w:val="21"/>
          <w:szCs w:val="21"/>
        </w:rPr>
        <w:t xml:space="preserve">What this tells us:</w:t>
      </w:r>
      <w:r>
        <w:rPr>
          <w:rFonts w:ascii="Arial" w:cs="Arial" w:eastAsia="Arial" w:hAnsi="Arial"/>
          <w:sz w:val="21"/>
          <w:szCs w:val="21"/>
        </w:rPr>
        <w:t xml:space="preserve"> how effective a control is and how much it returns are different things. MFA removes the biggest share of its risk (95%), but the WAF returns far more per dollar because the risk it reduces ($31,250,000 a year) is about ten times bigger than the one MFA reduces. Ranked by Year-1 ROI, the order is WAF, then MFA, then the API gateway.</w:t>
      </w:r>
    </w:p>
    <w:p>
      <w:pPr>
        <w:keepNext/>
        <w:spacing w:after="60" w:before="120"/>
        <w:jc w:val="center"/>
      </w:pPr>
      <w:r>
        <w:drawing>
          <wp:inline distT="0" distB="0" distL="0" distR="0">
            <wp:extent cx="5143500" cy="2895600"/>
            <wp:effectExtent t="0" r="0" b="0" l="0"/>
            <wp:docPr id="1" name="charts/06_before_after.png" descr="charts/06_before_after.png" title="charts/06_before_af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2895600"/>
                    </a:xfrm>
                    <a:prstGeom prst="rect">
                      <a:avLst/>
                    </a:prstGeom>
                  </pic:spPr>
                </pic:pic>
              </a:graphicData>
            </a:graphic>
          </wp:inline>
        </w:drawing>
      </w:r>
    </w:p>
    <w:p>
      <w:pPr>
        <w:spacing w:after="200" w:line="276"/>
        <w:jc w:val="center"/>
      </w:pPr>
      <w:r>
        <w:rPr>
          <w:rFonts w:ascii="Arial" w:cs="Arial" w:eastAsia="Arial" w:hAnsi="Arial"/>
          <w:i/>
          <w:iCs/>
          <w:color w:val="595959"/>
          <w:sz w:val="18"/>
          <w:szCs w:val="18"/>
        </w:rPr>
        <w:t xml:space="preserve">Figure 6. Annual exposure before and after controls.</w:t>
      </w:r>
    </w:p>
    <w:p>
      <w:pPr>
        <w:keepNext/>
        <w:spacing w:after="60" w:before="120"/>
        <w:jc w:val="center"/>
      </w:pPr>
      <w:r>
        <w:drawing>
          <wp:inline distT="0" distB="0" distL="0" distR="0">
            <wp:extent cx="4572000" cy="2943225"/>
            <wp:effectExtent t="0" r="0" b="0" l="0"/>
            <wp:docPr id="1" name="charts/07_investment_stacked.png" descr="charts/07_investment_stacked.png" title="charts/07_investment_stack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2943225"/>
                    </a:xfrm>
                    <a:prstGeom prst="rect">
                      <a:avLst/>
                    </a:prstGeom>
                  </pic:spPr>
                </pic:pic>
              </a:graphicData>
            </a:graphic>
          </wp:inline>
        </w:drawing>
      </w:r>
    </w:p>
    <w:p>
      <w:pPr>
        <w:spacing w:after="200" w:line="276"/>
        <w:jc w:val="center"/>
      </w:pPr>
      <w:r>
        <w:rPr>
          <w:rFonts w:ascii="Arial" w:cs="Arial" w:eastAsia="Arial" w:hAnsi="Arial"/>
          <w:i/>
          <w:iCs/>
          <w:color w:val="595959"/>
          <w:sz w:val="18"/>
          <w:szCs w:val="18"/>
        </w:rPr>
        <w:t xml:space="preserve">Figure 7. Investment breakdown per control, initial versus annual maintenance.</w:t>
      </w:r>
    </w:p>
    <w:p>
      <w:pPr>
        <w:keepNext/>
        <w:spacing w:after="60" w:before="120"/>
        <w:jc w:val="center"/>
      </w:pPr>
      <w:r>
        <w:drawing>
          <wp:inline distT="0" distB="0" distL="0" distR="0">
            <wp:extent cx="5143500" cy="2895600"/>
            <wp:effectExtent t="0" r="0" b="0" l="0"/>
            <wp:docPr id="1" name="charts/08_exposure_over_time.png" descr="charts/08_exposure_over_time.png" title="charts/08_exposure_over_ti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2895600"/>
                    </a:xfrm>
                    <a:prstGeom prst="rect">
                      <a:avLst/>
                    </a:prstGeom>
                  </pic:spPr>
                </pic:pic>
              </a:graphicData>
            </a:graphic>
          </wp:inline>
        </w:drawing>
      </w:r>
    </w:p>
    <w:p>
      <w:pPr>
        <w:spacing w:after="200" w:line="276"/>
        <w:jc w:val="center"/>
      </w:pPr>
      <w:r>
        <w:rPr>
          <w:rFonts w:ascii="Arial" w:cs="Arial" w:eastAsia="Arial" w:hAnsi="Arial"/>
          <w:i/>
          <w:iCs/>
          <w:color w:val="595959"/>
          <w:sz w:val="18"/>
          <w:szCs w:val="18"/>
        </w:rPr>
        <w:t xml:space="preserve">Figure 8. Cumulative cost over three years, without controls and with controls (residual loss plus control cost).</w:t>
      </w:r>
    </w:p>
    <w:p>
      <w:pPr>
        <w:keepNext/>
        <w:spacing w:after="60" w:before="120"/>
        <w:jc w:val="center"/>
      </w:pPr>
      <w:r>
        <w:drawing>
          <wp:inline distT="0" distB="0" distL="0" distR="0">
            <wp:extent cx="5143500" cy="2895600"/>
            <wp:effectExtent t="0" r="0" b="0" l="0"/>
            <wp:docPr id="1" name="charts/09_net_benefit.png" descr="charts/09_net_benefit.png" title="charts/09_net_benef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43500" cy="2895600"/>
                    </a:xfrm>
                    <a:prstGeom prst="rect">
                      <a:avLst/>
                    </a:prstGeom>
                  </pic:spPr>
                </pic:pic>
              </a:graphicData>
            </a:graphic>
          </wp:inline>
        </w:drawing>
      </w:r>
    </w:p>
    <w:p>
      <w:pPr>
        <w:spacing w:after="200" w:line="276"/>
        <w:jc w:val="center"/>
      </w:pPr>
      <w:r>
        <w:rPr>
          <w:rFonts w:ascii="Arial" w:cs="Arial" w:eastAsia="Arial" w:hAnsi="Arial"/>
          <w:i/>
          <w:iCs/>
          <w:color w:val="595959"/>
          <w:sz w:val="18"/>
          <w:szCs w:val="18"/>
        </w:rPr>
        <w:t xml:space="preserve">Figure 9. Cumulative net benefit of the control portfolio. It is negative only on day 0 (-$700,000) and reaches $79,872,500 after three years.</w:t>
      </w:r>
    </w:p>
    <w:p>
      <w:pPr>
        <w:keepNext/>
        <w:spacing w:after="120" w:line="276"/>
      </w:pPr>
      <w:r>
        <w:rPr>
          <w:rFonts w:ascii="Arial" w:cs="Arial" w:eastAsia="Arial" w:hAnsi="Arial"/>
          <w:sz w:val="21"/>
          <w:szCs w:val="21"/>
        </w:rPr>
        <w:t xml:space="preserve"/>
      </w:r>
      <w:r>
        <w:rPr>
          <w:rFonts w:ascii="Arial" w:cs="Arial" w:eastAsia="Arial" w:hAnsi="Arial"/>
          <w:b/>
          <w:bCs/>
          <w:sz w:val="21"/>
          <w:szCs w:val="21"/>
        </w:rPr>
        <w:t xml:space="preserve">Table 3. Multi-year view</w:t>
      </w:r>
      <w:r>
        <w:rPr>
          <w:rFonts w:ascii="Arial" w:cs="Arial" w:eastAsia="Arial" w:hAnsi="Arial"/>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500"/>
        <w:gridCol w:w="1500"/>
        <w:gridCol w:w="1500"/>
        <w:gridCol w:w="1460"/>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center"/>
            </w:pPr>
            <w:r>
              <w:rPr>
                <w:rFonts w:ascii="Arial" w:cs="Arial" w:eastAsia="Arial" w:hAnsi="Arial"/>
                <w:b/>
                <w:bCs/>
                <w:color w:val="FFFFFF"/>
                <w:sz w:val="17"/>
                <w:szCs w:val="17"/>
              </w:rPr>
              <w:t xml:space="preserve">Milestone</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center"/>
            </w:pPr>
            <w:r>
              <w:rPr>
                <w:rFonts w:ascii="Arial" w:cs="Arial" w:eastAsia="Arial" w:hAnsi="Arial"/>
                <w:b/>
                <w:bCs/>
                <w:color w:val="FFFFFF"/>
                <w:sz w:val="17"/>
                <w:szCs w:val="17"/>
              </w:rPr>
              <w:t xml:space="preserve">Inherent ALE</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center"/>
            </w:pPr>
            <w:r>
              <w:rPr>
                <w:rFonts w:ascii="Arial" w:cs="Arial" w:eastAsia="Arial" w:hAnsi="Arial"/>
                <w:b/>
                <w:bCs/>
                <w:color w:val="FFFFFF"/>
                <w:sz w:val="17"/>
                <w:szCs w:val="17"/>
              </w:rPr>
              <w:t xml:space="preserve">Residual ALE</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center"/>
            </w:pPr>
            <w:r>
              <w:rPr>
                <w:rFonts w:ascii="Arial" w:cs="Arial" w:eastAsia="Arial" w:hAnsi="Arial"/>
                <w:b/>
                <w:bCs/>
                <w:color w:val="FFFFFF"/>
                <w:sz w:val="17"/>
                <w:szCs w:val="17"/>
              </w:rPr>
              <w:t xml:space="preserve">Cumulative cost</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center"/>
            </w:pPr>
            <w:r>
              <w:rPr>
                <w:rFonts w:ascii="Arial" w:cs="Arial" w:eastAsia="Arial" w:hAnsi="Arial"/>
                <w:b/>
                <w:bCs/>
                <w:color w:val="FFFFFF"/>
                <w:sz w:val="17"/>
                <w:szCs w:val="17"/>
              </w:rPr>
              <w:t xml:space="preserve">Cumulative saved</w:t>
            </w:r>
          </w:p>
        </w:tc>
        <w:tc>
          <w:tcPr>
            <w:tcW w:type="dxa" w:w="146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center"/>
            </w:pPr>
            <w:r>
              <w:rPr>
                <w:rFonts w:ascii="Arial" w:cs="Arial" w:eastAsia="Arial" w:hAnsi="Arial"/>
                <w:b/>
                <w:bCs/>
                <w:color w:val="FFFFFF"/>
                <w:sz w:val="17"/>
                <w:szCs w:val="17"/>
              </w:rPr>
              <w:t xml:space="preserve">Cumulative net</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Day 0 (procure)</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$35,000,000</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$35,000,000</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$700,000</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$0</w:t>
            </w:r>
          </w:p>
        </w:tc>
        <w:tc>
          <w:tcPr>
            <w:tcW w:type="dxa" w:w="14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-$700,000</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End of Year 1</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$35,000,000</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$8,037,500</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$805,000</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$26,962,500</w:t>
            </w:r>
          </w:p>
        </w:tc>
        <w:tc>
          <w:tcPr>
            <w:tcW w:type="dxa" w:w="14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$26,157,500</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End of Year 2</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$35,000,000</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$8,037,500</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$910,000</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$53,925,000</w:t>
            </w:r>
          </w:p>
        </w:tc>
        <w:tc>
          <w:tcPr>
            <w:tcW w:type="dxa" w:w="14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$53,015,000</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End of Year 3</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$35,000,000</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$8,037,500</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$1,015,000</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$80,887,500</w:t>
            </w:r>
          </w:p>
        </w:tc>
        <w:tc>
          <w:tcPr>
            <w:tcW w:type="dxa" w:w="14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$79,872,500</w:t>
            </w:r>
          </w:p>
        </w:tc>
      </w:tr>
    </w:tbl>
    <w:p>
      <w:pPr>
        <w:sectPr>
          <w:footerReference w:type="default" r:id="rId8"/>
          <w:pgSz w:w="12240" w:h="15840" w:orient="portrait"/>
          <w:pgMar w:top="1300" w:right="1440" w:bottom="1200" w:left="1440" w:header="708" w:footer="708" w:gutter="0"/>
          <w:pgNumType/>
          <w:docGrid w:linePitch="360"/>
        </w:sectPr>
      </w:pPr>
    </w:p>
    <w:p>
      <w:pPr>
        <w:pStyle w:val="Heading1"/>
        <w:keepNext/>
        <w:spacing w:after="140" w:before="320"/>
      </w:pPr>
      <w:r>
        <w:rPr>
          <w:rFonts w:ascii="Arial" w:cs="Arial" w:eastAsia="Arial" w:hAnsi="Arial"/>
          <w:b/>
          <w:bCs/>
          <w:color w:val="1F3864"/>
          <w:sz w:val="30"/>
          <w:szCs w:val="30"/>
        </w:rPr>
        <w:t xml:space="preserve">7. Task 6: Executive briefing dashboard</w:t>
      </w:r>
    </w:p>
    <w:p>
      <w:pPr>
        <w:keepNext/>
        <w:spacing w:after="60" w:before="120"/>
        <w:jc w:val="center"/>
      </w:pPr>
      <w:r>
        <w:drawing>
          <wp:inline distT="0" distB="0" distL="0" distR="0">
            <wp:extent cx="8382000" cy="5086350"/>
            <wp:effectExtent t="0" r="0" b="0" l="0"/>
            <wp:docPr id="1" name="Lab3B_Executive_Dashboard.png" descr="Lab3B_Executive_Dashboard.png" title="Lab3B_Executive_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8382000" cy="5086350"/>
                    </a:xfrm>
                    <a:prstGeom prst="rect">
                      <a:avLst/>
                    </a:prstGeom>
                  </pic:spPr>
                </pic:pic>
              </a:graphicData>
            </a:graphic>
          </wp:inline>
        </w:drawing>
      </w:r>
    </w:p>
    <w:p>
      <w:pPr>
        <w:spacing w:after="200" w:line="276"/>
        <w:jc w:val="center"/>
      </w:pPr>
      <w:r>
        <w:rPr>
          <w:rFonts w:ascii="Arial" w:cs="Arial" w:eastAsia="Arial" w:hAnsi="Arial"/>
          <w:i/>
          <w:iCs/>
          <w:color w:val="595959"/>
          <w:sz w:val="18"/>
          <w:szCs w:val="18"/>
        </w:rPr>
        <w:t xml:space="preserve">Figure 10. One-page executive dashboard (also supplied as Lab3B_Executive_Dashboard.pdf).</w:t>
      </w:r>
    </w:p>
    <w:p>
      <w:pPr>
        <w:sectPr>
          <w:footerReference w:type="default" r:id="rId9"/>
          <w:pgSz w:w="15840" w:h="12240" w:orient="landscape"/>
          <w:pgMar w:top="800" w:right="720" w:bottom="800" w:left="720" w:header="708" w:footer="708" w:gutter="0"/>
          <w:pgNumType/>
          <w:docGrid w:linePitch="360"/>
        </w:sectPr>
      </w:pPr>
    </w:p>
    <w:p>
      <w:pPr>
        <w:spacing w:after="120" w:line="276"/>
      </w:pPr>
      <w:r>
        <w:rPr>
          <w:rFonts w:ascii="Arial" w:cs="Arial" w:eastAsia="Arial" w:hAnsi="Arial"/>
          <w:sz w:val="21"/>
          <w:szCs w:val="21"/>
        </w:rPr>
        <w:t xml:space="preserve"/>
      </w:r>
      <w:r>
        <w:rPr>
          <w:rFonts w:ascii="Arial" w:cs="Arial" w:eastAsia="Arial" w:hAnsi="Arial"/>
          <w:b/>
          <w:bCs/>
          <w:sz w:val="21"/>
          <w:szCs w:val="21"/>
        </w:rPr>
        <w:t xml:space="preserve">In short:</w:t>
      </w:r>
      <w:r>
        <w:rPr>
          <w:rFonts w:ascii="Arial" w:cs="Arial" w:eastAsia="Arial" w:hAnsi="Arial"/>
          <w:sz w:val="21"/>
          <w:szCs w:val="21"/>
        </w:rPr>
        <w:t xml:space="preserve"> SecureBank is exposed to about $35,000,000 a year on the mobile banking platform. The controls we recommend cost $700,000 up front and $105,000 a year to run, and they cut the yearly exposure by 77.04% ($26,962,500 before running costs, $26,857,500 after). The first-year ROI is 3,249.38%, and the investment pays for itself in about 9.5 days.</w:t>
      </w:r>
    </w:p>
    <w:p>
      <w:pPr>
        <w:pStyle w:val="Heading1"/>
        <w:keepNext/>
        <w:spacing w:after="140" w:before="320"/>
      </w:pPr>
      <w:r>
        <w:rPr>
          <w:rFonts w:ascii="Arial" w:cs="Arial" w:eastAsia="Arial" w:hAnsi="Arial"/>
          <w:b/>
          <w:bCs/>
          <w:color w:val="1F3864"/>
          <w:sz w:val="30"/>
          <w:szCs w:val="30"/>
        </w:rPr>
        <w:t xml:space="preserve">8. Task 7: Risk treatment roadmap</w:t>
      </w:r>
    </w:p>
    <w:p>
      <w:pPr>
        <w:keepNext/>
        <w:spacing w:after="60" w:before="120"/>
        <w:jc w:val="center"/>
      </w:pPr>
      <w:r>
        <w:drawing>
          <wp:inline distT="0" distB="0" distL="0" distR="0">
            <wp:extent cx="5943600" cy="2857500"/>
            <wp:effectExtent t="0" r="0" b="0" l="0"/>
            <wp:docPr id="1" name="charts/10_gantt.png" descr="charts/10_gantt.png" title="charts/10_gant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43600" cy="2857500"/>
                    </a:xfrm>
                    <a:prstGeom prst="rect">
                      <a:avLst/>
                    </a:prstGeom>
                  </pic:spPr>
                </pic:pic>
              </a:graphicData>
            </a:graphic>
          </wp:inline>
        </w:drawing>
      </w:r>
    </w:p>
    <w:p>
      <w:pPr>
        <w:spacing w:after="200" w:line="276"/>
        <w:jc w:val="center"/>
      </w:pPr>
      <w:r>
        <w:rPr>
          <w:rFonts w:ascii="Arial" w:cs="Arial" w:eastAsia="Arial" w:hAnsi="Arial"/>
          <w:i/>
          <w:iCs/>
          <w:color w:val="595959"/>
          <w:sz w:val="18"/>
          <w:szCs w:val="18"/>
        </w:rPr>
        <w:t xml:space="preserve">Figure 11. Risk treatment timeline: immediate (0 to 30 days), short-term (31 to 90 days), long-term (to 365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3400"/>
        <w:gridCol w:w="1500"/>
        <w:gridCol w:w="2060"/>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center"/>
            </w:pPr>
            <w:r>
              <w:rPr>
                <w:rFonts w:ascii="Arial" w:cs="Arial" w:eastAsia="Arial" w:hAnsi="Arial"/>
                <w:b/>
                <w:bCs/>
                <w:color w:val="FFFFFF"/>
                <w:sz w:val="17"/>
                <w:szCs w:val="17"/>
              </w:rPr>
              <w:t xml:space="preserve">Phase</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center"/>
            </w:pPr>
            <w:r>
              <w:rPr>
                <w:rFonts w:ascii="Arial" w:cs="Arial" w:eastAsia="Arial" w:hAnsi="Arial"/>
                <w:b/>
                <w:bCs/>
                <w:color w:val="FFFFFF"/>
                <w:sz w:val="17"/>
                <w:szCs w:val="17"/>
              </w:rPr>
              <w:t xml:space="preserve">Days</w:t>
            </w:r>
          </w:p>
        </w:tc>
        <w:tc>
          <w:tcPr>
            <w:tcW w:type="dxa" w:w="34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center"/>
            </w:pPr>
            <w:r>
              <w:rPr>
                <w:rFonts w:ascii="Arial" w:cs="Arial" w:eastAsia="Arial" w:hAnsi="Arial"/>
                <w:b/>
                <w:bCs/>
                <w:color w:val="FFFFFF"/>
                <w:sz w:val="17"/>
                <w:szCs w:val="17"/>
              </w:rPr>
              <w:t xml:space="preserve">Action</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center"/>
            </w:pPr>
            <w:r>
              <w:rPr>
                <w:rFonts w:ascii="Arial" w:cs="Arial" w:eastAsia="Arial" w:hAnsi="Arial"/>
                <w:b/>
                <w:bCs/>
                <w:color w:val="FFFFFF"/>
                <w:sz w:val="17"/>
                <w:szCs w:val="17"/>
              </w:rPr>
              <w:t xml:space="preserve">Budget</w:t>
            </w:r>
          </w:p>
        </w:tc>
        <w:tc>
          <w:tcPr>
            <w:tcW w:type="dxa" w:w="206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center"/>
            </w:pPr>
            <w:r>
              <w:rPr>
                <w:rFonts w:ascii="Arial" w:cs="Arial" w:eastAsia="Arial" w:hAnsi="Arial"/>
                <w:b/>
                <w:bCs/>
                <w:color w:val="FFFFFF"/>
                <w:sz w:val="17"/>
                <w:szCs w:val="17"/>
              </w:rPr>
              <w:t xml:space="preserve">Accountable lead</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Immediate</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1 to 10</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SQLi virtual patching and input sanitization</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Internal operations</w:t>
            </w:r>
          </w:p>
        </w:tc>
        <w:tc>
          <w:tcPr>
            <w:tcW w:type="dxa" w:w="20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SecOps Engineering</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Immediate</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11 to 20</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WAF procurement and deployment</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$150,000</w:t>
            </w:r>
          </w:p>
        </w:tc>
        <w:tc>
          <w:tcPr>
            <w:tcW w:type="dxa" w:w="20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Infrastructure / SecOps</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Immediate</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21 to 30</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Session hardening (15-min timeout, login limits)</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Internal operations</w:t>
            </w:r>
          </w:p>
        </w:tc>
        <w:tc>
          <w:tcPr>
            <w:tcW w:type="dxa" w:w="20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AppSec Team</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Short-term</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31 to 60</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MFA enhancement rollout</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$200,000</w:t>
            </w:r>
          </w:p>
        </w:tc>
        <w:tc>
          <w:tcPr>
            <w:tcW w:type="dxa" w:w="20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IAM and Identity Lead</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Short-term</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61 to 90</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API gateway proof of concept and architecture</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$50,000</w:t>
            </w:r>
          </w:p>
        </w:tc>
        <w:tc>
          <w:tcPr>
            <w:tcW w:type="dxa" w:w="20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Architecture and GRC</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Long-term</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91 to 270</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API gateway production cutover</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$300,000</w:t>
            </w:r>
          </w:p>
        </w:tc>
        <w:tc>
          <w:tcPr>
            <w:tcW w:type="dxa" w:w="20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CISO and Lead GRC Analyst</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Long-term</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91 to 365</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Continuous monitoring and quarterly testing</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Internal operations</w:t>
            </w:r>
          </w:p>
        </w:tc>
        <w:tc>
          <w:tcPr>
            <w:tcW w:type="dxa" w:w="20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SecOps Engineering</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Long-term</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300 to 365</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Re-audit and risk re-quantification</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Internal operations</w:t>
            </w:r>
          </w:p>
        </w:tc>
        <w:tc>
          <w:tcPr>
            <w:tcW w:type="dxa" w:w="20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Lead GRC Analyst</w:t>
            </w:r>
          </w:p>
        </w:tc>
      </w:tr>
      <w:tr>
        <w:trPr>
          <w:cantSplit/>
        </w:trPr>
        <w:tc>
          <w:tcPr>
            <w:tcW w:type="dxa" w:w="1300"/>
            <w:tcBorders>
              <w:top w:val="single" w:color="BFBFBF" w:sz="4"/>
              <w:left w:val="single" w:color="BFBFBF" w:sz="4"/>
              <w:bottom w:val="single" w:color="BFBFBF" w:sz="4"/>
              <w:right w:val="single" w:color="BFBFBF" w:sz="4"/>
            </w:tcBorders>
            <w:shd w:fill="EEF3F9" w:color="auto" w:val="clear"/>
            <w:tcMar>
              <w:top w:type="dxa" w:w="60"/>
              <w:left w:type="dxa" w:w="90"/>
              <w:bottom w:type="dxa" w:w="60"/>
              <w:right w:type="dxa" w:w="90"/>
            </w:tcMar>
          </w:tcPr>
          <w:p>
            <w:pPr>
              <w:jc w:val="left"/>
            </w:pPr>
            <w:r>
              <w:rPr>
                <w:rFonts w:ascii="Arial" w:cs="Arial" w:eastAsia="Arial" w:hAnsi="Arial"/>
                <w:b/>
                <w:bCs/>
                <w:sz w:val="17"/>
                <w:szCs w:val="17"/>
              </w:rPr>
              <w:t xml:space="preserve">Total</w:t>
            </w:r>
          </w:p>
        </w:tc>
        <w:tc>
          <w:tcPr>
            <w:tcW w:type="dxa" w:w="1100"/>
            <w:tcBorders>
              <w:top w:val="single" w:color="BFBFBF" w:sz="4"/>
              <w:left w:val="single" w:color="BFBFBF" w:sz="4"/>
              <w:bottom w:val="single" w:color="BFBFBF" w:sz="4"/>
              <w:right w:val="single" w:color="BFBFBF" w:sz="4"/>
            </w:tcBorders>
            <w:shd w:fill="EEF3F9" w:color="auto" w:val="clear"/>
            <w:tcMar>
              <w:top w:type="dxa" w:w="60"/>
              <w:left w:type="dxa" w:w="90"/>
              <w:bottom w:type="dxa" w:w="60"/>
              <w:right w:type="dxa" w:w="90"/>
            </w:tcMar>
          </w:tcPr>
          <w:p>
            <w:pPr>
              <w:jc w:val="left"/>
            </w:pPr>
            <w:r>
              <w:rPr>
                <w:rFonts w:ascii="Arial" w:cs="Arial" w:eastAsia="Arial" w:hAnsi="Arial"/>
                <w:b/>
                <w:bCs/>
                <w:sz w:val="17"/>
                <w:szCs w:val="17"/>
              </w:rPr>
              <w:t xml:space="preserve"/>
            </w:r>
          </w:p>
        </w:tc>
        <w:tc>
          <w:tcPr>
            <w:tcW w:type="dxa" w:w="3400"/>
            <w:tcBorders>
              <w:top w:val="single" w:color="BFBFBF" w:sz="4"/>
              <w:left w:val="single" w:color="BFBFBF" w:sz="4"/>
              <w:bottom w:val="single" w:color="BFBFBF" w:sz="4"/>
              <w:right w:val="single" w:color="BFBFBF" w:sz="4"/>
            </w:tcBorders>
            <w:shd w:fill="EEF3F9" w:color="auto" w:val="clear"/>
            <w:tcMar>
              <w:top w:type="dxa" w:w="60"/>
              <w:left w:type="dxa" w:w="90"/>
              <w:bottom w:type="dxa" w:w="60"/>
              <w:right w:type="dxa" w:w="90"/>
            </w:tcMar>
          </w:tcPr>
          <w:p>
            <w:pPr>
              <w:jc w:val="left"/>
            </w:pPr>
            <w:r>
              <w:rPr>
                <w:rFonts w:ascii="Arial" w:cs="Arial" w:eastAsia="Arial" w:hAnsi="Arial"/>
                <w:b/>
                <w:bCs/>
                <w:sz w:val="17"/>
                <w:szCs w:val="17"/>
              </w:rPr>
              <w:t xml:space="preserve"/>
            </w:r>
          </w:p>
        </w:tc>
        <w:tc>
          <w:tcPr>
            <w:tcW w:type="dxa" w:w="1500"/>
            <w:tcBorders>
              <w:top w:val="single" w:color="BFBFBF" w:sz="4"/>
              <w:left w:val="single" w:color="BFBFBF" w:sz="4"/>
              <w:bottom w:val="single" w:color="BFBFBF" w:sz="4"/>
              <w:right w:val="single" w:color="BFBFBF" w:sz="4"/>
            </w:tcBorders>
            <w:shd w:fill="EEF3F9" w:color="auto" w:val="clear"/>
            <w:tcMar>
              <w:top w:type="dxa" w:w="60"/>
              <w:left w:type="dxa" w:w="90"/>
              <w:bottom w:type="dxa" w:w="60"/>
              <w:right w:type="dxa" w:w="90"/>
            </w:tcMar>
          </w:tcPr>
          <w:p>
            <w:pPr>
              <w:jc w:val="left"/>
            </w:pPr>
            <w:r>
              <w:rPr>
                <w:rFonts w:ascii="Arial" w:cs="Arial" w:eastAsia="Arial" w:hAnsi="Arial"/>
                <w:b/>
                <w:bCs/>
                <w:sz w:val="17"/>
                <w:szCs w:val="17"/>
              </w:rPr>
              <w:t xml:space="preserve">$700,000</w:t>
            </w:r>
          </w:p>
        </w:tc>
        <w:tc>
          <w:tcPr>
            <w:tcW w:type="dxa" w:w="2060"/>
            <w:tcBorders>
              <w:top w:val="single" w:color="BFBFBF" w:sz="4"/>
              <w:left w:val="single" w:color="BFBFBF" w:sz="4"/>
              <w:bottom w:val="single" w:color="BFBFBF" w:sz="4"/>
              <w:right w:val="single" w:color="BFBFBF" w:sz="4"/>
            </w:tcBorders>
            <w:shd w:fill="EEF3F9" w:color="auto" w:val="clear"/>
            <w:tcMar>
              <w:top w:type="dxa" w:w="60"/>
              <w:left w:type="dxa" w:w="90"/>
              <w:bottom w:type="dxa" w:w="60"/>
              <w:right w:type="dxa" w:w="90"/>
            </w:tcMar>
          </w:tcPr>
          <w:p>
            <w:pPr>
              <w:jc w:val="left"/>
            </w:pPr>
            <w:r>
              <w:rPr>
                <w:rFonts w:ascii="Arial" w:cs="Arial" w:eastAsia="Arial" w:hAnsi="Arial"/>
                <w:b/>
                <w:bCs/>
                <w:sz w:val="17"/>
                <w:szCs w:val="17"/>
              </w:rPr>
              <w:t xml:space="preserve"/>
            </w:r>
          </w:p>
        </w:tc>
      </w:tr>
    </w:tbl>
    <w:p>
      <w:pPr>
        <w:spacing w:after="80" w:line="276"/>
      </w:pPr>
      <w:r>
        <w:rPr>
          <w:rFonts w:ascii="Arial" w:cs="Arial" w:eastAsia="Arial" w:hAnsi="Arial"/>
          <w:sz w:val="21"/>
          <w:szCs w:val="21"/>
        </w:rPr>
        <w:t xml:space="preserve">The budget column adds up to the initial investment. The timeline is my own proposal (Assumption A9). In the long-term phase I also included continuous monitoring and quarterly testing, which need no capital spend, and a re-audit to refresh this risk quantification.</w:t>
      </w:r>
    </w:p>
    <w:p>
      <w:pPr>
        <w:pStyle w:val="Heading1"/>
        <w:keepNext/>
        <w:spacing w:after="140" w:before="320"/>
      </w:pPr>
      <w:r>
        <w:rPr>
          <w:rFonts w:ascii="Arial" w:cs="Arial" w:eastAsia="Arial" w:hAnsi="Arial"/>
          <w:b/>
          <w:bCs/>
          <w:color w:val="1F3864"/>
          <w:sz w:val="30"/>
          <w:szCs w:val="30"/>
        </w:rPr>
        <w:t xml:space="preserve">9. Bonus: Combined risk-control matrix and budget optimisation</w:t>
      </w:r>
    </w:p>
    <w:p>
      <w:pPr>
        <w:keepNext/>
        <w:spacing w:after="120" w:line="276"/>
      </w:pPr>
      <w:r>
        <w:rPr>
          <w:rFonts w:ascii="Arial" w:cs="Arial" w:eastAsia="Arial" w:hAnsi="Arial"/>
          <w:sz w:val="21"/>
          <w:szCs w:val="21"/>
        </w:rPr>
        <w:t xml:space="preserve"/>
      </w:r>
      <w:r>
        <w:rPr>
          <w:rFonts w:ascii="Arial" w:cs="Arial" w:eastAsia="Arial" w:hAnsi="Arial"/>
          <w:b/>
          <w:bCs/>
          <w:sz w:val="21"/>
          <w:szCs w:val="21"/>
        </w:rPr>
        <w:t xml:space="preserve">Table 4. Combined risk-control matrix</w:t>
      </w:r>
      <w:r>
        <w:rPr>
          <w:rFonts w:ascii="Arial" w:cs="Arial" w:eastAsia="Arial" w:hAnsi="Arial"/>
          <w:sz w:val="21"/>
          <w:szCs w:val="21"/>
        </w:rPr>
        <w:t xml:space="preserve"> (current versus residual risk, cost versus benefit)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250"/>
        <w:gridCol w:w="1250"/>
        <w:gridCol w:w="1100"/>
        <w:gridCol w:w="156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center"/>
            </w:pPr>
            <w:r>
              <w:rPr>
                <w:rFonts w:ascii="Arial" w:cs="Arial" w:eastAsia="Arial" w:hAnsi="Arial"/>
                <w:b/>
                <w:bCs/>
                <w:color w:val="FFFFFF"/>
                <w:sz w:val="17"/>
                <w:szCs w:val="17"/>
              </w:rPr>
              <w:t xml:space="preserve">Vulnerability</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center"/>
            </w:pPr>
            <w:r>
              <w:rPr>
                <w:rFonts w:ascii="Arial" w:cs="Arial" w:eastAsia="Arial" w:hAnsi="Arial"/>
                <w:b/>
                <w:bCs/>
                <w:color w:val="FFFFFF"/>
                <w:sz w:val="17"/>
                <w:szCs w:val="17"/>
              </w:rPr>
              <w:t xml:space="preserve">Control</w:t>
            </w:r>
          </w:p>
        </w:tc>
        <w:tc>
          <w:tcPr>
            <w:tcW w:type="dxa" w:w="125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center"/>
            </w:pPr>
            <w:r>
              <w:rPr>
                <w:rFonts w:ascii="Arial" w:cs="Arial" w:eastAsia="Arial" w:hAnsi="Arial"/>
                <w:b/>
                <w:bCs/>
                <w:color w:val="FFFFFF"/>
                <w:sz w:val="17"/>
                <w:szCs w:val="17"/>
              </w:rPr>
              <w:t xml:space="preserve">Current ALE</w:t>
            </w:r>
          </w:p>
        </w:tc>
        <w:tc>
          <w:tcPr>
            <w:tcW w:type="dxa" w:w="125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center"/>
            </w:pPr>
            <w:r>
              <w:rPr>
                <w:rFonts w:ascii="Arial" w:cs="Arial" w:eastAsia="Arial" w:hAnsi="Arial"/>
                <w:b/>
                <w:bCs/>
                <w:color w:val="FFFFFF"/>
                <w:sz w:val="17"/>
                <w:szCs w:val="17"/>
              </w:rPr>
              <w:t xml:space="preserve">Residual ALE</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center"/>
            </w:pPr>
            <w:r>
              <w:rPr>
                <w:rFonts w:ascii="Arial" w:cs="Arial" w:eastAsia="Arial" w:hAnsi="Arial"/>
                <w:b/>
                <w:bCs/>
                <w:color w:val="FFFFFF"/>
                <w:sz w:val="17"/>
                <w:szCs w:val="17"/>
              </w:rPr>
              <w:t xml:space="preserve">Initial cost</w:t>
            </w:r>
          </w:p>
        </w:tc>
        <w:tc>
          <w:tcPr>
            <w:tcW w:type="dxa" w:w="156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center"/>
            </w:pPr>
            <w:r>
              <w:rPr>
                <w:rFonts w:ascii="Arial" w:cs="Arial" w:eastAsia="Arial" w:hAnsi="Arial"/>
                <w:b/>
                <w:bCs/>
                <w:color w:val="FFFFFF"/>
                <w:sz w:val="17"/>
                <w:szCs w:val="17"/>
              </w:rPr>
              <w:t xml:space="preserve">Year-1 net benefit</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Database Injection</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Web Application Firewall (WAF)</w:t>
            </w:r>
          </w:p>
        </w:tc>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$31,250,000</w:t>
            </w:r>
          </w:p>
        </w:tc>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$7,812,500</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$150,000</w:t>
            </w:r>
          </w:p>
        </w:tc>
        <w:tc>
          <w:tcPr>
            <w:tcW w:type="dxa" w:w="15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$23,262,500</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Session Hijacking</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MFA Enhancement</w:t>
            </w:r>
          </w:p>
        </w:tc>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$3,000,000</w:t>
            </w:r>
          </w:p>
        </w:tc>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$150,000</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$200,000</w:t>
            </w:r>
          </w:p>
        </w:tc>
        <w:tc>
          <w:tcPr>
            <w:tcW w:type="dxa" w:w="15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$2,620,000</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API Authentication Bypass</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Advanced API Security Gateway</w:t>
            </w:r>
          </w:p>
        </w:tc>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$750,000</w:t>
            </w:r>
          </w:p>
        </w:tc>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$75,000</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$350,000</w:t>
            </w:r>
          </w:p>
        </w:tc>
        <w:tc>
          <w:tcPr>
            <w:tcW w:type="dxa" w:w="15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$275,000</w:t>
            </w:r>
          </w:p>
        </w:tc>
      </w:tr>
    </w:tbl>
    <w:p>
      <w:pPr>
        <w:spacing w:after="60" w:line="276"/>
      </w:pPr>
      <w:r>
        <w:rPr>
          <w:rFonts w:ascii="Arial" w:cs="Arial" w:eastAsia="Arial" w:hAnsi="Arial"/>
          <w:sz w:val="21"/>
          <w:szCs w:val="21"/>
        </w:rPr>
        <w:t xml:space="preserve"/>
      </w:r>
    </w:p>
    <w:p>
      <w:pPr>
        <w:keepNext/>
        <w:spacing w:after="120" w:line="276"/>
      </w:pPr>
      <w:r>
        <w:rPr>
          <w:rFonts w:ascii="Arial" w:cs="Arial" w:eastAsia="Arial" w:hAnsi="Arial"/>
          <w:sz w:val="21"/>
          <w:szCs w:val="21"/>
        </w:rPr>
        <w:t xml:space="preserve"/>
      </w:r>
      <w:r>
        <w:rPr>
          <w:rFonts w:ascii="Arial" w:cs="Arial" w:eastAsia="Arial" w:hAnsi="Arial"/>
          <w:b/>
          <w:bCs/>
          <w:sz w:val="21"/>
          <w:szCs w:val="21"/>
        </w:rPr>
        <w:t xml:space="preserve">Table 5. Best control selection for each budget limit</w:t>
      </w:r>
      <w:r>
        <w:rPr>
          <w:rFonts w:ascii="Arial" w:cs="Arial" w:eastAsia="Arial" w:hAnsi="Arial"/>
          <w:sz w:val="21"/>
          <w:szCs w:val="21"/>
        </w:rPr>
        <w:t xml:space="preserve"> (all eight combinations were evaluated)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400"/>
        <w:gridCol w:w="1700"/>
        <w:gridCol w:w="1760"/>
      </w:tblGrid>
      <w:tr>
        <w:trPr>
          <w:tblHeader/>
        </w:trPr>
        <w:tc>
          <w:tcPr>
            <w:tcW w:type="dxa" w:w="15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center"/>
            </w:pPr>
            <w:r>
              <w:rPr>
                <w:rFonts w:ascii="Arial" w:cs="Arial" w:eastAsia="Arial" w:hAnsi="Arial"/>
                <w:b/>
                <w:bCs/>
                <w:color w:val="FFFFFF"/>
                <w:sz w:val="17"/>
                <w:szCs w:val="17"/>
              </w:rPr>
              <w:t xml:space="preserve">Budget limit</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center"/>
            </w:pPr>
            <w:r>
              <w:rPr>
                <w:rFonts w:ascii="Arial" w:cs="Arial" w:eastAsia="Arial" w:hAnsi="Arial"/>
                <w:b/>
                <w:bCs/>
                <w:color w:val="FFFFFF"/>
                <w:sz w:val="17"/>
                <w:szCs w:val="17"/>
              </w:rPr>
              <w:t xml:space="preserve">Annual risk reduction</w:t>
            </w:r>
          </w:p>
        </w:tc>
        <w:tc>
          <w:tcPr>
            <w:tcW w:type="dxa" w:w="24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center"/>
            </w:pPr>
            <w:r>
              <w:rPr>
                <w:rFonts w:ascii="Arial" w:cs="Arial" w:eastAsia="Arial" w:hAnsi="Arial"/>
                <w:b/>
                <w:bCs/>
                <w:color w:val="FFFFFF"/>
                <w:sz w:val="17"/>
                <w:szCs w:val="17"/>
              </w:rPr>
              <w:t xml:space="preserve">Selected controls</w:t>
            </w:r>
          </w:p>
        </w:tc>
        <w:tc>
          <w:tcPr>
            <w:tcW w:type="dxa" w:w="1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center"/>
            </w:pPr>
            <w:r>
              <w:rPr>
                <w:rFonts w:ascii="Arial" w:cs="Arial" w:eastAsia="Arial" w:hAnsi="Arial"/>
                <w:b/>
                <w:bCs/>
                <w:color w:val="FFFFFF"/>
                <w:sz w:val="17"/>
                <w:szCs w:val="17"/>
              </w:rPr>
              <w:t xml:space="preserve">Initial cost used</w:t>
            </w:r>
          </w:p>
        </w:tc>
        <w:tc>
          <w:tcPr>
            <w:tcW w:type="dxa" w:w="176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center"/>
            </w:pPr>
            <w:r>
              <w:rPr>
                <w:rFonts w:ascii="Arial" w:cs="Arial" w:eastAsia="Arial" w:hAnsi="Arial"/>
                <w:b/>
                <w:bCs/>
                <w:color w:val="FFFFFF"/>
                <w:sz w:val="17"/>
                <w:szCs w:val="17"/>
              </w:rPr>
              <w:t xml:space="preserve">Share of maximum</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$150,000</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$23,437,500</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WAF only</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$150,000</w:t>
            </w:r>
          </w:p>
        </w:tc>
        <w:tc>
          <w:tcPr>
            <w:tcW w:type="dxa" w:w="17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86.9%</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$200,000</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$23,437,500</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WAF only</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$150,000</w:t>
            </w:r>
          </w:p>
        </w:tc>
        <w:tc>
          <w:tcPr>
            <w:tcW w:type="dxa" w:w="17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86.9%</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$350,000</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$26,287,500</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WAF + MFA</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$350,000</w:t>
            </w:r>
          </w:p>
        </w:tc>
        <w:tc>
          <w:tcPr>
            <w:tcW w:type="dxa" w:w="17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97.5%</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$500,000</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$26,287,500</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WAF + MFA</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$350,000</w:t>
            </w:r>
          </w:p>
        </w:tc>
        <w:tc>
          <w:tcPr>
            <w:tcW w:type="dxa" w:w="17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97.5%</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$550,000</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$26,287,500</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WAF + MFA</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$350,000</w:t>
            </w:r>
          </w:p>
        </w:tc>
        <w:tc>
          <w:tcPr>
            <w:tcW w:type="dxa" w:w="17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97.5%</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$700,000</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$26,962,500</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All three controls</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$700,000</w:t>
            </w:r>
          </w:p>
        </w:tc>
        <w:tc>
          <w:tcPr>
            <w:tcW w:type="dxa" w:w="17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100.0%</w:t>
            </w:r>
          </w:p>
        </w:tc>
      </w:tr>
    </w:tbl>
    <w:p>
      <w:pPr>
        <w:spacing w:after="80" w:line="276"/>
      </w:pPr>
      <w:r>
        <w:rPr>
          <w:rFonts w:ascii="Arial" w:cs="Arial" w:eastAsia="Arial" w:hAnsi="Arial"/>
          <w:sz w:val="21"/>
          <w:szCs w:val="21"/>
        </w:rPr>
        <w:t xml:space="preserve"/>
      </w:r>
      <w:r>
        <w:rPr>
          <w:rFonts w:ascii="Arial" w:cs="Arial" w:eastAsia="Arial" w:hAnsi="Arial"/>
          <w:b/>
          <w:bCs/>
          <w:sz w:val="21"/>
          <w:szCs w:val="21"/>
        </w:rPr>
        <w:t xml:space="preserve">What stands out:</w:t>
      </w:r>
      <w:r>
        <w:rPr>
          <w:rFonts w:ascii="Arial" w:cs="Arial" w:eastAsia="Arial" w:hAnsi="Arial"/>
          <w:sz w:val="21"/>
          <w:szCs w:val="21"/>
        </w:rPr>
        <w:t xml:space="preserve"> at $350,000 the best choice is already WAF + MFA, and nothing improves on it until the budget reaches $700,000, where the API gateway adds $675,000 a year. With a $500,000 cap, WAF + MFA costs $350,000 and removes $26,287,500 a year (97.5% of the most we can achieve), leaving $150,000 unspent. Its Year-1 ROI is 6,390.74% on total cost (7,410.71% on the up-front cost).</w:t>
      </w:r>
    </w:p>
    <w:p>
      <w:pPr>
        <w:spacing w:after="80" w:line="276"/>
      </w:pPr>
      <w:r>
        <w:rPr>
          <w:rFonts w:ascii="Arial" w:cs="Arial" w:eastAsia="Arial" w:hAnsi="Arial"/>
          <w:sz w:val="21"/>
          <w:szCs w:val="21"/>
        </w:rPr>
        <w:t xml:space="preserve">While waiting for the API gateway, engineering could add stopgaps such as stricter token checks and rate limiting. I have not costed them or measured their effect, so I do not count any risk reduction for them.</w:t>
      </w:r>
    </w:p>
    <w:p>
      <w:pPr>
        <w:pStyle w:val="Heading1"/>
        <w:keepNext/>
        <w:spacing w:after="140" w:before="320"/>
      </w:pPr>
      <w:r>
        <w:rPr>
          <w:rFonts w:ascii="Arial" w:cs="Arial" w:eastAsia="Arial" w:hAnsi="Arial"/>
          <w:b/>
          <w:bCs/>
          <w:color w:val="1F3864"/>
          <w:sz w:val="30"/>
          <w:szCs w:val="30"/>
        </w:rPr>
        <w:t xml:space="preserve">10. Risk treatment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center"/>
            </w:pPr>
            <w:r>
              <w:rPr>
                <w:rFonts w:ascii="Arial" w:cs="Arial" w:eastAsia="Arial" w:hAnsi="Arial"/>
                <w:b/>
                <w:bCs/>
                <w:color w:val="FFFFFF"/>
                <w:sz w:val="17"/>
                <w:szCs w:val="17"/>
              </w:rPr>
              <w:t xml:space="preserve">Decision</w:t>
            </w:r>
          </w:p>
        </w:tc>
        <w:tc>
          <w:tcPr>
            <w:tcW w:type="dxa" w:w="676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center"/>
            </w:pPr>
            <w:r>
              <w:rPr>
                <w:rFonts w:ascii="Arial" w:cs="Arial" w:eastAsia="Arial" w:hAnsi="Arial"/>
                <w:b/>
                <w:bCs/>
                <w:color w:val="FFFFFF"/>
                <w:sz w:val="17"/>
                <w:szCs w:val="17"/>
              </w:rPr>
              <w:t xml:space="preserve">Why</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Treat all three risks</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Each control pays back in Year 1, and the total exposure drops from $35.0M to $8.04M.</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Fund in this order: WAF, MFA, API gateway</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Best return and fastest payback first. The API gateway returns the least and takes longest to pay back (6.7 months).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Do not accept the database injection risk</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It makes up 89.3% of the total exposure, so accepting it would be hard to justify.</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Re-measure after rollout</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Residual risk is modelled, not observed. A retest and a fresh quantification after 12 months will show whether the controls work as assumed.</w:t>
            </w:r>
          </w:p>
        </w:tc>
      </w:tr>
    </w:tbl>
    <w:p>
      <w:pPr>
        <w:pStyle w:val="Heading1"/>
        <w:keepNext/>
        <w:spacing w:after="140" w:before="320"/>
      </w:pPr>
      <w:r>
        <w:rPr>
          <w:rFonts w:ascii="Arial" w:cs="Arial" w:eastAsia="Arial" w:hAnsi="Arial"/>
          <w:b/>
          <w:bCs/>
          <w:color w:val="1F3864"/>
          <w:sz w:val="30"/>
          <w:szCs w:val="30"/>
        </w:rPr>
        <w:t xml:space="preserve">11. Limitations</w:t>
      </w:r>
    </w:p>
    <w:p>
      <w:pPr>
        <w:pStyle w:val="ListParagraph"/>
        <w:numPr>
          <w:ilvl w:val="0"/>
          <w:numId w:val="2"/>
        </w:numPr>
        <w:spacing w:after="70" w:line="264"/>
      </w:pPr>
      <w:r>
        <w:rPr>
          <w:rFonts w:ascii="Arial" w:cs="Arial" w:eastAsia="Arial" w:hAnsi="Arial"/>
          <w:sz w:val="21"/>
          <w:szCs w:val="21"/>
        </w:rPr>
        <w:t xml:space="preserve">Every loss, probability, cost and effectiveness value comes from the lab sheet. I did not check them independently, and each is a single estimate rather than a range.</w:t>
      </w:r>
    </w:p>
    <w:p>
      <w:pPr>
        <w:pStyle w:val="ListParagraph"/>
        <w:numPr>
          <w:ilvl w:val="0"/>
          <w:numId w:val="2"/>
        </w:numPr>
        <w:spacing w:after="70" w:line="264"/>
      </w:pPr>
      <w:r>
        <w:rPr>
          <w:rFonts w:ascii="Arial" w:cs="Arial" w:eastAsia="Arial" w:hAnsi="Arial"/>
          <w:sz w:val="21"/>
          <w:szCs w:val="21"/>
        </w:rPr>
        <w:t xml:space="preserve">I treated the exploit probability as a yearly rate (Assumption A2). Reading it differently would change every ALE in proportion.</w:t>
      </w:r>
    </w:p>
    <w:p>
      <w:pPr>
        <w:pStyle w:val="ListParagraph"/>
        <w:numPr>
          <w:ilvl w:val="0"/>
          <w:numId w:val="2"/>
        </w:numPr>
        <w:spacing w:after="70" w:line="264"/>
      </w:pPr>
      <w:r>
        <w:rPr>
          <w:rFonts w:ascii="Arial" w:cs="Arial" w:eastAsia="Arial" w:hAnsi="Arial"/>
          <w:sz w:val="21"/>
          <w:szCs w:val="21"/>
        </w:rPr>
        <w:t xml:space="preserve">The results depend heavily on the stated losses. As a test, if the database SLE were only 10% of the stated figure, the WAF would still return about 1,239% in Year 1 and pay for itself in about 24 days.</w:t>
      </w:r>
    </w:p>
    <w:p>
      <w:pPr>
        <w:pStyle w:val="ListParagraph"/>
        <w:numPr>
          <w:ilvl w:val="0"/>
          <w:numId w:val="2"/>
        </w:numPr>
        <w:spacing w:after="70" w:line="264"/>
      </w:pPr>
      <w:r>
        <w:rPr>
          <w:rFonts w:ascii="Arial" w:cs="Arial" w:eastAsia="Arial" w:hAnsi="Arial"/>
          <w:sz w:val="21"/>
          <w:szCs w:val="21"/>
        </w:rPr>
        <w:t xml:space="preserve">I treated the controls as independent, each covering one finding. In practice they overlap (a WAF also blocks some API attacks, for example), so the combined benefit could differ.</w:t>
      </w:r>
    </w:p>
    <w:p>
      <w:pPr>
        <w:pStyle w:val="ListParagraph"/>
        <w:numPr>
          <w:ilvl w:val="0"/>
          <w:numId w:val="2"/>
        </w:numPr>
        <w:spacing w:after="70" w:line="264"/>
      </w:pPr>
      <w:r>
        <w:rPr>
          <w:rFonts w:ascii="Arial" w:cs="Arial" w:eastAsia="Arial" w:hAnsi="Arial"/>
          <w:sz w:val="21"/>
          <w:szCs w:val="21"/>
        </w:rPr>
        <w:t xml:space="preserve">The sheet gives MFA's effectiveness for account takeover, and I applied it to session hijacking. If an attacker steals a session that is already authenticated, MFA may not stop it, so the 95% may be optimistic for this finding.</w:t>
      </w:r>
    </w:p>
    <w:p>
      <w:pPr>
        <w:pStyle w:val="ListParagraph"/>
        <w:numPr>
          <w:ilvl w:val="0"/>
          <w:numId w:val="2"/>
        </w:numPr>
        <w:spacing w:after="70" w:line="264"/>
      </w:pPr>
      <w:r>
        <w:rPr>
          <w:rFonts w:ascii="Arial" w:cs="Arial" w:eastAsia="Arial" w:hAnsi="Arial"/>
          <w:sz w:val="21"/>
          <w:szCs w:val="21"/>
        </w:rPr>
        <w:t xml:space="preserve">The model leaves out discounting, inflation, fines beyond the stated cost per record, and the cost of the stopgap measures in Section 9.</w:t>
      </w:r>
    </w:p>
    <w:p>
      <w:pPr>
        <w:pStyle w:val="Heading1"/>
        <w:keepNext/>
        <w:spacing w:after="140" w:before="320"/>
      </w:pPr>
      <w:r>
        <w:rPr>
          <w:rFonts w:ascii="Arial" w:cs="Arial" w:eastAsia="Arial" w:hAnsi="Arial"/>
          <w:b/>
          <w:bCs/>
          <w:color w:val="1F3864"/>
          <w:sz w:val="30"/>
          <w:szCs w:val="30"/>
        </w:rPr>
        <w:t xml:space="preserve">12. Declaration of AI assistance</w:t>
      </w:r>
    </w:p>
    <w:p>
      <w:pPr>
        <w:spacing w:after="120" w:line="276"/>
      </w:pPr>
      <w:r>
        <w:rPr>
          <w:rFonts w:ascii="Arial" w:cs="Arial" w:eastAsia="Arial" w:hAnsi="Arial"/>
          <w:sz w:val="21"/>
          <w:szCs w:val="21"/>
        </w:rPr>
        <w:t xml:space="preserve">I used Claude, an AI assistant from Anthropic, throughout this lab. It explained the formulas and the reasoning behind each step, checked my work against the lab sheet, helped build the Excel workbook, charts and dashboard, and helped draft the wording of this report. I reviewed the results and spot-checked the key figures in the workbook myself. Because AI can make mistakes, every number in this report comes from the workbook formulas, which were recalculated and compared with hand calculations.</w:t>
      </w:r>
    </w:p>
    <w:p>
      <w:r>
        <w:br w:type="page"/>
      </w:r>
    </w:p>
    <w:p>
      <w:pPr>
        <w:pStyle w:val="Heading1"/>
        <w:keepNext/>
        <w:spacing w:after="140" w:before="320"/>
      </w:pPr>
      <w:r>
        <w:rPr>
          <w:rFonts w:ascii="Arial" w:cs="Arial" w:eastAsia="Arial" w:hAnsi="Arial"/>
          <w:b/>
          <w:bCs/>
          <w:color w:val="1F3864"/>
          <w:sz w:val="30"/>
          <w:szCs w:val="30"/>
        </w:rPr>
        <w:t xml:space="preserve">Appendix A: Spreadsheet implementation (workbook formulas)</w:t>
      </w:r>
    </w:p>
    <w:p>
      <w:pPr>
        <w:spacing w:after="120" w:line="276"/>
      </w:pPr>
      <w:r>
        <w:rPr>
          <w:rFonts w:ascii="Arial" w:cs="Arial" w:eastAsia="Arial" w:hAnsi="Arial"/>
          <w:sz w:val="21"/>
          <w:szCs w:val="21"/>
        </w:rPr>
        <w:t xml:space="preserve">The workbook Lab3B_Risk_Quantification_Workbook.xlsx contains the live formulas. Key cells (sheet: cell):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center"/>
            </w:pPr>
            <w:r>
              <w:rPr>
                <w:rFonts w:ascii="Arial" w:cs="Arial" w:eastAsia="Arial" w:hAnsi="Arial"/>
                <w:b/>
                <w:bCs/>
                <w:color w:val="FFFFFF"/>
                <w:sz w:val="17"/>
                <w:szCs w:val="17"/>
              </w:rPr>
              <w:t xml:space="preserve">Quantity</w:t>
            </w:r>
          </w:p>
        </w:tc>
        <w:tc>
          <w:tcPr>
            <w:tcW w:type="dxa" w:w="30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center"/>
            </w:pPr>
            <w:r>
              <w:rPr>
                <w:rFonts w:ascii="Arial" w:cs="Arial" w:eastAsia="Arial" w:hAnsi="Arial"/>
                <w:b/>
                <w:bCs/>
                <w:color w:val="FFFFFF"/>
                <w:sz w:val="17"/>
                <w:szCs w:val="17"/>
              </w:rPr>
              <w:t xml:space="preserve">Formula</w:t>
            </w:r>
          </w:p>
        </w:tc>
        <w:tc>
          <w:tcPr>
            <w:tcW w:type="dxa" w:w="376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center"/>
            </w:pPr>
            <w:r>
              <w:rPr>
                <w:rFonts w:ascii="Arial" w:cs="Arial" w:eastAsia="Arial" w:hAnsi="Arial"/>
                <w:b/>
                <w:bCs/>
                <w:color w:val="FFFFFF"/>
                <w:sz w:val="17"/>
                <w:szCs w:val="17"/>
              </w:rPr>
              <w:t xml:space="preserve">Location</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SLE</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=IF(Inputs!F5&lt;&gt;"",Inputs!F5,Inputs!D5*Inputs!E5)</w:t>
            </w:r>
          </w:p>
        </w:tc>
        <w:tc>
          <w:tcPr>
            <w:tcW w:type="dxa" w:w="37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Phase1_ALE: C6</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ALE</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=C6*D6</w:t>
            </w:r>
          </w:p>
        </w:tc>
        <w:tc>
          <w:tcPr>
            <w:tcW w:type="dxa" w:w="37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Phase1_ALE: E6</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Priority level</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=IF(J6&gt;=Inputs!$B$19,"High",...)</w:t>
            </w:r>
          </w:p>
        </w:tc>
        <w:tc>
          <w:tcPr>
            <w:tcW w:type="dxa" w:w="37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Phase1_ALE: K6</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Annual risk reduction</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=F5*E5</w:t>
            </w:r>
          </w:p>
        </w:tc>
        <w:tc>
          <w:tcPr>
            <w:tcW w:type="dxa" w:w="37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Phase2_Controls: G5</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Residual ALE</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=F5-G5</w:t>
            </w:r>
          </w:p>
        </w:tc>
        <w:tc>
          <w:tcPr>
            <w:tcW w:type="dxa" w:w="37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Phase2_Controls: H5</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ROI on initial investment</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=(G5-C5)/C5</w:t>
            </w:r>
          </w:p>
        </w:tc>
        <w:tc>
          <w:tcPr>
            <w:tcW w:type="dxa" w:w="37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Phase2_Controls: J5</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ROI on Year-1 total cost</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=(G5-I5)/I5</w:t>
            </w:r>
          </w:p>
        </w:tc>
        <w:tc>
          <w:tcPr>
            <w:tcW w:type="dxa" w:w="37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Phase2_Controls: K5</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Payback (years / days)</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=C5/L5 ; =M5*365</w:t>
            </w:r>
          </w:p>
        </w:tc>
        <w:tc>
          <w:tcPr>
            <w:tcW w:type="dxa" w:w="37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Phase2_Controls: M5, O5</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Best selection for a budget</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=_xlfn.MAXIFS(G5:G12,E5:E12,"&lt;="&amp;A17)</w:t>
            </w:r>
          </w:p>
        </w:tc>
        <w:tc>
          <w:tcPr>
            <w:tcW w:type="dxa" w:w="37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Budget: B17</w:t>
            </w:r>
          </w:p>
        </w:tc>
      </w:tr>
    </w:tbl>
    <w:p>
      <w:pPr>
        <w:pStyle w:val="Heading1"/>
        <w:keepNext/>
        <w:spacing w:after="140" w:before="320"/>
      </w:pPr>
      <w:r>
        <w:rPr>
          <w:rFonts w:ascii="Arial" w:cs="Arial" w:eastAsia="Arial" w:hAnsi="Arial"/>
          <w:b/>
          <w:bCs/>
          <w:color w:val="1F3864"/>
          <w:sz w:val="30"/>
          <w:szCs w:val="30"/>
        </w:rPr>
        <w:t xml:space="preserve">Appendix B: File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rPr>
          <w:tblHeader/>
        </w:trPr>
        <w:tc>
          <w:tcPr>
            <w:tcW w:type="dxa" w:w="4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center"/>
            </w:pPr>
            <w:r>
              <w:rPr>
                <w:rFonts w:ascii="Arial" w:cs="Arial" w:eastAsia="Arial" w:hAnsi="Arial"/>
                <w:b/>
                <w:bCs/>
                <w:color w:val="FFFFFF"/>
                <w:sz w:val="17"/>
                <w:szCs w:val="17"/>
              </w:rPr>
              <w:t xml:space="preserve">File</w:t>
            </w:r>
          </w:p>
        </w:tc>
        <w:tc>
          <w:tcPr>
            <w:tcW w:type="dxa" w:w="506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center"/>
            </w:pPr>
            <w:r>
              <w:rPr>
                <w:rFonts w:ascii="Arial" w:cs="Arial" w:eastAsia="Arial" w:hAnsi="Arial"/>
                <w:b/>
                <w:bCs/>
                <w:color w:val="FFFFFF"/>
                <w:sz w:val="17"/>
                <w:szCs w:val="17"/>
              </w:rPr>
              <w:t xml:space="preserve">Content</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README.md</w:t>
            </w:r>
          </w:p>
        </w:tc>
        <w:tc>
          <w:tcPr>
            <w:tcW w:type="dxa" w:w="50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Overview and repository guide</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docs/Lab3B_Risk_Quantification_Executive_Report.docx</w:t>
            </w:r>
          </w:p>
        </w:tc>
        <w:tc>
          <w:tcPr>
            <w:tcW w:type="dxa" w:w="50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This report</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spreadsheet/Lab3B_Risk_Quantification_Workbook.xlsx</w:t>
            </w:r>
          </w:p>
        </w:tc>
        <w:tc>
          <w:tcPr>
            <w:tcW w:type="dxa" w:w="50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All calculations and native Excel charts</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charts/ (10 PNG files)</w:t>
            </w:r>
          </w:p>
        </w:tc>
        <w:tc>
          <w:tcPr>
            <w:tcW w:type="dxa" w:w="50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Every required graph, including the Gantt chart</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docs/Lab3B_Executive_Dashboard.pdf (and .png)</w:t>
            </w:r>
          </w:p>
        </w:tc>
        <w:tc>
          <w:tcPr>
            <w:tcW w:type="dxa" w:w="50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One-page executive dashboard</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presentation/</w:t>
            </w:r>
          </w:p>
        </w:tc>
        <w:tc>
          <w:tcPr>
            <w:tcW w:type="dxa" w:w="50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7"/>
                <w:szCs w:val="17"/>
              </w:rPr>
              <w:t xml:space="preserve">Executive briefing slides</w:t>
            </w:r>
          </w:p>
        </w:tc>
      </w:tr>
    </w:tbl>
    <w:sectPr>
      <w:footerReference w:type="default" r:id="rId10"/>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SecureBank Financial | Lab 3B | Chioma Ameh C11/26/CGRCE/17567 | Page </w:t>
    </w:r>
    <w:r>
      <w:rPr>
        <w:rFonts w:ascii="Arial" w:cs="Arial" w:eastAsia="Arial" w:hAnsi="Arial"/>
        <w:color w:val="7F7F7F"/>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SecureBank Financial | Lab 3B | Chioma Ameh C11/26/CGRCE/17567 | Page </w:t>
    </w:r>
    <w:r>
      <w:rPr>
        <w:rFonts w:ascii="Arial" w:cs="Arial" w:eastAsia="Arial" w:hAnsi="Arial"/>
        <w:color w:val="7F7F7F"/>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SecureBank Financial | Lab 3B | Chioma Ameh C11/26/CGRCE/17567 | Page </w:t>
    </w:r>
    <w:r>
      <w:rPr>
        <w:rFonts w:ascii="Arial" w:cs="Arial" w:eastAsia="Arial" w:hAnsi="Arial"/>
        <w:color w:val="7F7F7F"/>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SecureBank Financial | Lab 3B | Chioma Ameh C11/26/CGRCE/17567 | Page </w:t>
    </w:r>
    <w:r>
      <w:rPr>
        <w:rFonts w:ascii="Arial" w:cs="Arial" w:eastAsia="Arial" w:hAnsi="Arial"/>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9d35927a81f208089c8fbee1c0ce512d3e2b9f1e.png"/><Relationship Id="rId12" Type="http://schemas.openxmlformats.org/officeDocument/2006/relationships/image" Target="media/747feedd20bb51e9c3c0baf2bb25570251aa67d2.png"/><Relationship Id="rId13" Type="http://schemas.openxmlformats.org/officeDocument/2006/relationships/image" Target="media/4bed8fcdaa50a1dbbf3de6587832353c63d023da.png"/><Relationship Id="rId14" Type="http://schemas.openxmlformats.org/officeDocument/2006/relationships/image" Target="media/17f78aafe6947b1929ef1b60985e857eaa528dc0.png"/><Relationship Id="rId15" Type="http://schemas.openxmlformats.org/officeDocument/2006/relationships/image" Target="media/bf527e9d5f390f5323a069a32c35b863b7a08bff.png"/><Relationship Id="rId16" Type="http://schemas.openxmlformats.org/officeDocument/2006/relationships/image" Target="media/d45583a29a800b009d5c5e4afaad15a13b11e179.png"/><Relationship Id="rId17" Type="http://schemas.openxmlformats.org/officeDocument/2006/relationships/image" Target="media/2ef9d85c44fed28362ecba3075a5fd07c4d22923.png"/><Relationship Id="rId18" Type="http://schemas.openxmlformats.org/officeDocument/2006/relationships/image" Target="media/58d28ca53a2eebaa5b691930625c2423a63a000c.png"/><Relationship Id="rId19" Type="http://schemas.openxmlformats.org/officeDocument/2006/relationships/image" Target="media/a1eccc5d469e13282b694030e40ba657ca0583e0.png"/><Relationship Id="rId20" Type="http://schemas.openxmlformats.org/officeDocument/2006/relationships/image" Target="media/bde0314463633d77445327a3063370cb3822e2db.png"/><Relationship Id="rId21" Type="http://schemas.openxmlformats.org/officeDocument/2006/relationships/image" Target="media/5acbb4ca04420bcad870cc91bd6ca69ea50526fc.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2026-10-31T08:11:32.336Z</dcterms:created>
  <dcterms:modified xsi:type="dcterms:W3CDTF">2026-10-31T08:11:32.339Z</dcterms:modified>
</cp:coreProperties>
</file>

<file path=docProps/custom.xml><?xml version="1.0" encoding="utf-8"?>
<Properties xmlns="http://schemas.openxmlformats.org/officeDocument/2006/custom-properties" xmlns:vt="http://schemas.openxmlformats.org/officeDocument/2006/docPropsVTypes"/>
</file>