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E5E93">
      <w:pPr>
        <w:pStyle w:val="2"/>
        <w:spacing w:line="360" w:lineRule="auto"/>
        <w:jc w:val="center"/>
        <w:rPr>
          <w:rFonts w:hint="eastAsia" w:ascii="黑体" w:hAnsi="黑体" w:eastAsia="黑体" w:cs="黑体"/>
          <w:bCs/>
        </w:rPr>
      </w:pPr>
      <w:bookmarkStart w:id="0" w:name="面向未来城市治理的物联网与具身智能技术从感知互联到具身协同的城市治理新范式"/>
      <w:r>
        <w:rPr>
          <w:rFonts w:hint="eastAsia" w:ascii="黑体" w:hAnsi="黑体" w:eastAsia="黑体" w:cs="黑体"/>
          <w:bCs/>
          <w:sz w:val="36"/>
          <w:szCs w:val="36"/>
        </w:rPr>
        <w:t>城市智能治理的技术范式：从感知互联到具身协同</w:t>
      </w:r>
    </w:p>
    <w:p w14:paraId="1D8EE779">
      <w:pPr>
        <w:pStyle w:val="3"/>
        <w:spacing w:line="360" w:lineRule="auto"/>
        <w:jc w:val="center"/>
        <w:rPr>
          <w:rFonts w:hint="eastAsia" w:ascii="仿宋" w:hAnsi="仿宋" w:eastAsia="仿宋" w:cs="仿宋"/>
        </w:rPr>
      </w:pPr>
      <w:r>
        <w:rPr>
          <w:rFonts w:hint="eastAsia" w:ascii="仿宋" w:hAnsi="仿宋" w:eastAsia="仿宋" w:cs="仿宋"/>
        </w:rPr>
        <w:t>夏莹杰、张子杰</w:t>
      </w:r>
    </w:p>
    <w:p w14:paraId="0E52DE08">
      <w:pPr>
        <w:pStyle w:val="3"/>
        <w:spacing w:line="360" w:lineRule="auto"/>
        <w:jc w:val="center"/>
        <w:rPr>
          <w:rFonts w:ascii="仿宋" w:hAnsi="仿宋" w:eastAsia="仿宋" w:cs="仿宋"/>
        </w:rPr>
      </w:pPr>
      <w:r>
        <w:rPr>
          <w:rFonts w:hint="eastAsia" w:ascii="仿宋" w:hAnsi="仿宋" w:eastAsia="仿宋" w:cs="仿宋"/>
        </w:rPr>
        <w:t>CICC社会治理与城市大脑专业委员会</w:t>
      </w:r>
    </w:p>
    <w:p w14:paraId="12423BBE">
      <w:pPr>
        <w:pStyle w:val="3"/>
        <w:spacing w:line="360" w:lineRule="auto"/>
        <w:jc w:val="center"/>
        <w:rPr>
          <w:rFonts w:hint="eastAsia" w:ascii="仿宋" w:hAnsi="仿宋" w:eastAsia="仿宋" w:cs="仿宋"/>
        </w:rPr>
      </w:pPr>
      <w:r>
        <w:rPr>
          <w:rFonts w:hint="eastAsia" w:ascii="仿宋" w:hAnsi="仿宋" w:eastAsia="仿宋" w:cs="仿宋"/>
        </w:rPr>
        <w:t>杭州电子科技大学芯片与安全实验室</w:t>
      </w:r>
    </w:p>
    <w:p w14:paraId="1C1CA0EA">
      <w:pPr>
        <w:pStyle w:val="27"/>
        <w:spacing w:line="360" w:lineRule="auto"/>
        <w:ind w:firstLine="480"/>
        <w:rPr>
          <w:rFonts w:hint="eastAsia" w:ascii="仿宋" w:hAnsi="仿宋" w:eastAsia="仿宋" w:cs="仿宋"/>
        </w:rPr>
      </w:pPr>
      <w:r>
        <w:rPr>
          <w:rFonts w:hint="eastAsia" w:ascii="仿宋" w:hAnsi="仿宋" w:eastAsia="仿宋" w:cs="仿宋"/>
        </w:rPr>
        <w:t>当前，全球城市化进程持续加速。据联合国《世界城市化展望》报告，2050年全球城市人口占比将达68%，相当于每月新增一个纽约规模的城市人口</w:t>
      </w:r>
      <w:r>
        <w:rPr>
          <w:rFonts w:hint="eastAsia" w:ascii="仿宋" w:hAnsi="仿宋" w:eastAsia="仿宋" w:cs="仿宋"/>
          <w:vertAlign w:val="superscript"/>
        </w:rPr>
        <w:t>[1]</w:t>
      </w:r>
      <w:r>
        <w:rPr>
          <w:rFonts w:hint="eastAsia" w:ascii="仿宋" w:hAnsi="仿宋" w:eastAsia="仿宋" w:cs="仿宋"/>
        </w:rPr>
        <w:t>。城市规模的急剧扩张带来交通拥堵、环境污染、公共安全、基础设施老化等一系列治理难题，传统以人力巡查和被动响应为主的城市管理模式已不堪重负。与此同时，两条技术曲线正在交汇：物联网（IoT）历经二十年发展，全球已进入千万级乃至亿级节点部署阶段，城市运行状态的实时数字化成为可能；具身智能（Embodied Intelligence）技术自2024年以来取得重要进展——大模型驱动的机器人和自主系统开始具备在物理世界中感知、推理和行动的能力。当“万物互联”遇见“具身行动”，城市治理站在了从“信息化管理”向“具身智能化治理”升级的历史拐点。</w:t>
      </w:r>
    </w:p>
    <w:p w14:paraId="1155F9D7">
      <w:pPr>
        <w:pStyle w:val="3"/>
        <w:spacing w:line="360" w:lineRule="auto"/>
        <w:outlineLvl w:val="0"/>
        <w:rPr>
          <w:rFonts w:hint="eastAsia" w:ascii="黑体" w:hAnsi="黑体" w:eastAsia="黑体" w:cs="黑体"/>
          <w:bCs/>
        </w:rPr>
      </w:pPr>
      <w:bookmarkStart w:id="1" w:name="_Toc5526"/>
      <w:r>
        <w:rPr>
          <w:rFonts w:hint="eastAsia" w:ascii="黑体" w:hAnsi="黑体" w:eastAsia="黑体" w:cs="黑体"/>
          <w:bCs/>
        </w:rPr>
        <w:t>一、城市治理的技术演进：从数字城市建设到具身智能城市</w:t>
      </w:r>
      <w:bookmarkEnd w:id="1"/>
    </w:p>
    <w:p w14:paraId="2A5E75DD">
      <w:pPr>
        <w:pStyle w:val="27"/>
        <w:spacing w:line="360" w:lineRule="auto"/>
        <w:ind w:firstLine="480"/>
        <w:rPr>
          <w:rFonts w:hint="eastAsia" w:ascii="仿宋" w:hAnsi="仿宋" w:eastAsia="仿宋" w:cs="仿宋"/>
        </w:rPr>
      </w:pPr>
      <w:r>
        <w:rPr>
          <w:rFonts w:hint="eastAsia" w:ascii="仿宋" w:hAnsi="仿宋" w:eastAsia="仿宋" w:cs="仿宋"/>
        </w:rPr>
        <w:t>城市治理技术的发展，本质上是一条从“看不见”到“看得见”，从“看见后被动响应”到“预见后主动干预”，再到“自主执行”的能力跃迁曲线。</w:t>
      </w:r>
    </w:p>
    <w:p w14:paraId="04DC6113">
      <w:pPr>
        <w:pStyle w:val="27"/>
        <w:spacing w:line="360" w:lineRule="auto"/>
        <w:ind w:firstLine="480"/>
        <w:rPr>
          <w:rFonts w:hint="eastAsia" w:ascii="仿宋" w:hAnsi="仿宋" w:eastAsia="仿宋" w:cs="仿宋"/>
        </w:rPr>
      </w:pPr>
      <w:r>
        <w:rPr>
          <w:rFonts w:hint="eastAsia" w:ascii="仿宋" w:hAnsi="仿宋" w:eastAsia="仿宋" w:cs="仿宋"/>
        </w:rPr>
        <w:t>数字城市建设开始于2000年左右。这一阶段以政务信息化和城市基础数据库建设为核心，依托GIS地理信息系统、遥感影像和部门业务系统，初步实现城市空间数据的数字化管理。但其局限在于：数据为静态、事后采集，系统间彼此孤立，“信息孤岛”问题突出，治理模式仍是“人看数据、人做决策”，数字化并未改变治理的被动响应本质。</w:t>
      </w:r>
    </w:p>
    <w:p w14:paraId="1584DBD0">
      <w:pPr>
        <w:pStyle w:val="27"/>
        <w:spacing w:line="360" w:lineRule="auto"/>
        <w:ind w:firstLine="480"/>
        <w:rPr>
          <w:rFonts w:hint="eastAsia" w:ascii="仿宋" w:hAnsi="仿宋" w:eastAsia="仿宋" w:cs="仿宋"/>
        </w:rPr>
      </w:pPr>
      <w:r>
        <w:rPr>
          <w:rFonts w:hint="eastAsia" w:ascii="仿宋" w:hAnsi="仿宋" w:eastAsia="仿宋" w:cs="仿宋"/>
        </w:rPr>
        <w:t>2010年左右随着物联网传感器的规模化部署和云计算平台的普及，城市治理进入“实时感知、集中分析”阶段，即智慧城市建设。摄像头、环境传感器、智能表计、地磁车位检测器等终端设备将城市肌体的运行状态实时数字化，大数据分析平台支撑交通调度、环境监测、安防预警等场景的智能化升级。深圳、杭州、新加坡等城市率先建成城市大脑，初步实现“城市可计算”。然而，这一阶段的技术瓶颈在于：感知和分析做到了，但“执行”仍需大规模人力投入——系统依然停留在“发现问题→通知人→人处置”的间接执行闭环，城市治理的物理执行端始终未能被技术穿透。</w:t>
      </w:r>
    </w:p>
    <w:p w14:paraId="24F18019">
      <w:pPr>
        <w:pStyle w:val="27"/>
        <w:spacing w:line="360" w:lineRule="auto"/>
        <w:ind w:firstLine="480"/>
        <w:rPr>
          <w:rFonts w:hint="eastAsia" w:ascii="仿宋" w:hAnsi="仿宋" w:eastAsia="仿宋" w:cs="仿宋"/>
        </w:rPr>
      </w:pPr>
      <w:r>
        <w:rPr>
          <w:rFonts w:hint="eastAsia" w:ascii="仿宋" w:hAnsi="仿宋" w:eastAsia="仿宋" w:cs="仿宋"/>
        </w:rPr>
        <w:t>2025年开始，随着大语言模型、多模态感知、自主导航和灵巧操作技术的群体性进展，具身智能开始走出实验室进入城市实际场景。不同于传统AI仅在数字空间中进行分析推理，具身智能将感知、认知与物理行动融为一体，在城市治理的物理场景用落地应用。无人巡检机器人可自主巡查地下管廊并执行简单维修操作；自动驾驶清扫车可依据实时路面洁净度动态调整作业路线；应急救援机器人可在危险环境中自主决策进入路线并执行搜救任务。物联网提供了城市尺度的“感官”，具身智能赋予了城市治理“手脚”，两者的融合使“感知→决策→执行”的完整闭环首次在机器端实现。城市治理由此从“人在回路中”的信息系统，向“人机协同的自治系统”演进。</w:t>
      </w:r>
    </w:p>
    <w:p w14:paraId="5FCC0823">
      <w:pPr>
        <w:pStyle w:val="3"/>
        <w:spacing w:line="360" w:lineRule="auto"/>
        <w:outlineLvl w:val="0"/>
        <w:rPr>
          <w:rFonts w:hint="eastAsia" w:ascii="黑体" w:hAnsi="黑体" w:eastAsia="黑体" w:cs="黑体"/>
          <w:bCs/>
        </w:rPr>
      </w:pPr>
      <w:bookmarkStart w:id="2" w:name="_Toc11991"/>
      <w:r>
        <w:rPr>
          <w:rFonts w:hint="eastAsia" w:ascii="黑体" w:hAnsi="黑体" w:eastAsia="黑体" w:cs="黑体"/>
          <w:bCs/>
        </w:rPr>
        <w:t>二、端－网－边－云协同的城市治理技术体系</w:t>
      </w:r>
      <w:bookmarkEnd w:id="2"/>
    </w:p>
    <w:p w14:paraId="31610460">
      <w:pPr>
        <w:pStyle w:val="27"/>
        <w:spacing w:line="360" w:lineRule="auto"/>
        <w:ind w:firstLine="480"/>
        <w:rPr>
          <w:rFonts w:hint="eastAsia" w:ascii="仿宋" w:hAnsi="仿宋" w:eastAsia="仿宋" w:cs="仿宋"/>
        </w:rPr>
      </w:pPr>
      <w:r>
        <w:rPr>
          <w:rFonts w:hint="eastAsia" w:ascii="仿宋" w:hAnsi="仿宋" w:eastAsia="仿宋" w:cs="仿宋"/>
        </w:rPr>
        <w:t>城市治理从物联感知到具身智能的技术体系，本质上是“端－网－边－云”四域协同的闭环架构：</w:t>
      </w:r>
    </w:p>
    <w:p w14:paraId="71F1B2A9">
      <w:pPr>
        <w:pStyle w:val="28"/>
        <w:numPr>
          <w:ilvl w:val="0"/>
          <w:numId w:val="1"/>
        </w:numPr>
        <w:spacing w:line="360" w:lineRule="auto"/>
        <w:rPr>
          <w:rFonts w:hint="eastAsia" w:ascii="仿宋" w:hAnsi="仿宋" w:eastAsia="仿宋" w:cs="仿宋"/>
        </w:rPr>
      </w:pPr>
      <w:r>
        <w:rPr>
          <w:rFonts w:hint="eastAsia" w:ascii="仿宋" w:hAnsi="仿宋" w:eastAsia="仿宋" w:cs="仿宋"/>
          <w:b/>
          <w:bCs/>
        </w:rPr>
        <w:t>端域</w:t>
      </w:r>
      <w:r>
        <w:rPr>
          <w:rFonts w:hint="eastAsia" w:ascii="仿宋" w:hAnsi="仿宋" w:eastAsia="仿宋" w:cs="仿宋"/>
        </w:rPr>
        <w:t>是与物理世界的接口，包含两个功能面——感知层作为数据入口，将城市多维状态转化为结构化数据流；执行层作为行动出口，将决策指令转化为物理世界中的实际动作。两者并非线性层级中的先后环节，而是端域的一体两面：数据从感知层流入，行动从执行层流出，物理世界的变化再被感知层捕获，形成闭环。</w:t>
      </w:r>
    </w:p>
    <w:p w14:paraId="605FEACA">
      <w:pPr>
        <w:pStyle w:val="28"/>
        <w:numPr>
          <w:ilvl w:val="0"/>
          <w:numId w:val="1"/>
        </w:numPr>
        <w:spacing w:line="360" w:lineRule="auto"/>
        <w:rPr>
          <w:rFonts w:hint="eastAsia" w:ascii="仿宋" w:hAnsi="仿宋" w:eastAsia="仿宋" w:cs="仿宋"/>
        </w:rPr>
      </w:pPr>
      <w:r>
        <w:rPr>
          <w:rFonts w:hint="eastAsia" w:ascii="仿宋" w:hAnsi="仿宋" w:eastAsia="仿宋" w:cs="仿宋"/>
          <w:b/>
          <w:bCs/>
        </w:rPr>
        <w:t>网域</w:t>
      </w:r>
      <w:r>
        <w:rPr>
          <w:rFonts w:hint="eastAsia" w:ascii="仿宋" w:hAnsi="仿宋" w:eastAsia="仿宋" w:cs="仿宋"/>
        </w:rPr>
        <w:t>贯通端域与计算域，承担数据上行和指令下行的传输任务，是“神经通路”。</w:t>
      </w:r>
    </w:p>
    <w:p w14:paraId="5ABF28B7">
      <w:pPr>
        <w:pStyle w:val="28"/>
        <w:numPr>
          <w:ilvl w:val="0"/>
          <w:numId w:val="1"/>
        </w:numPr>
        <w:spacing w:line="360" w:lineRule="auto"/>
        <w:rPr>
          <w:rFonts w:hint="eastAsia" w:ascii="仿宋" w:hAnsi="仿宋" w:eastAsia="仿宋" w:cs="仿宋"/>
        </w:rPr>
      </w:pPr>
      <w:r>
        <w:rPr>
          <w:rFonts w:hint="eastAsia" w:ascii="仿宋" w:hAnsi="仿宋" w:eastAsia="仿宋" w:cs="仿宋"/>
          <w:b/>
          <w:bCs/>
        </w:rPr>
        <w:t>边域是</w:t>
      </w:r>
      <w:r>
        <w:rPr>
          <w:rFonts w:hint="eastAsia" w:ascii="仿宋" w:hAnsi="仿宋" w:eastAsia="仿宋" w:cs="仿宋"/>
        </w:rPr>
        <w:t>靠近端侧的赋能单元，对应计算层，负责实时推理与快速响应。毫秒级安全预警、实时目标检测等时延敏感任务在边缘完成，避免将海量原始数据全部回传造成的带宽压力与决策延迟。</w:t>
      </w:r>
    </w:p>
    <w:p w14:paraId="7289CC72">
      <w:pPr>
        <w:pStyle w:val="28"/>
        <w:numPr>
          <w:ilvl w:val="0"/>
          <w:numId w:val="1"/>
        </w:numPr>
        <w:spacing w:line="360" w:lineRule="auto"/>
        <w:rPr>
          <w:rFonts w:hint="eastAsia" w:ascii="仿宋" w:hAnsi="仿宋" w:eastAsia="仿宋" w:cs="仿宋"/>
        </w:rPr>
      </w:pPr>
      <w:r>
        <w:rPr>
          <w:rFonts w:hint="eastAsia" w:ascii="仿宋" w:hAnsi="仿宋" w:eastAsia="仿宋" w:cs="仿宋"/>
          <w:b/>
          <w:bCs/>
        </w:rPr>
        <w:t>云域</w:t>
      </w:r>
      <w:r>
        <w:rPr>
          <w:rFonts w:hint="eastAsia" w:ascii="仿宋" w:hAnsi="仿宋" w:eastAsia="仿宋" w:cs="仿宋"/>
        </w:rPr>
        <w:t>是在网络云上的赋能中心，进行全局态势融合、复杂推理与长周期策略优化。数字孪生城市平台与智能治理决策引擎在此运行，完成跨区域轨迹追踪、城市级态势推演等全局性分析。</w:t>
      </w:r>
    </w:p>
    <w:p w14:paraId="2B7514B2">
      <w:pPr>
        <w:pStyle w:val="27"/>
        <w:spacing w:line="360" w:lineRule="auto"/>
        <w:ind w:firstLine="480"/>
        <w:rPr>
          <w:rFonts w:hint="eastAsia" w:ascii="仿宋" w:hAnsi="仿宋" w:eastAsia="仿宋" w:cs="仿宋"/>
        </w:rPr>
      </w:pPr>
      <w:r>
        <w:rPr>
          <w:rFonts w:hint="eastAsia" w:ascii="仿宋" w:hAnsi="仿宋" w:eastAsia="仿宋" w:cs="仿宋"/>
        </w:rPr>
        <w:t>这一架构可概括为“端域双入口、网域贯通、边缘域就近计算、云域全局决策”的四域协同模型。以下按感知层、连接层、计算层、平台层、执行层的顺序逐一展开。</w:t>
      </w:r>
    </w:p>
    <w:p w14:paraId="45A7BE11">
      <w:pPr>
        <w:pStyle w:val="27"/>
        <w:spacing w:line="360" w:lineRule="auto"/>
        <w:jc w:val="center"/>
        <w:rPr>
          <w:rFonts w:hint="eastAsia" w:ascii="仿宋" w:hAnsi="仿宋" w:eastAsia="仿宋" w:cs="仿宋"/>
          <w:b/>
        </w:rPr>
      </w:pPr>
      <w:r>
        <w:rPr>
          <w:rFonts w:hint="eastAsia" w:ascii="仿宋" w:hAnsi="仿宋" w:eastAsia="仿宋" w:cs="仿宋"/>
        </w:rPr>
        <w:drawing>
          <wp:inline distT="0" distB="0" distL="114300" distR="114300">
            <wp:extent cx="4438015" cy="2498090"/>
            <wp:effectExtent l="0" t="0" r="444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38015" cy="2498090"/>
                    </a:xfrm>
                    <a:prstGeom prst="rect">
                      <a:avLst/>
                    </a:prstGeom>
                    <a:noFill/>
                    <a:ln>
                      <a:noFill/>
                    </a:ln>
                  </pic:spPr>
                </pic:pic>
              </a:graphicData>
            </a:graphic>
          </wp:inline>
        </w:drawing>
      </w:r>
    </w:p>
    <w:p w14:paraId="4F335E01">
      <w:pPr>
        <w:pStyle w:val="27"/>
        <w:spacing w:line="360" w:lineRule="auto"/>
        <w:outlineLvl w:val="1"/>
        <w:rPr>
          <w:rFonts w:hint="eastAsia" w:ascii="仿宋" w:hAnsi="仿宋" w:eastAsia="仿宋" w:cs="仿宋"/>
          <w:b/>
        </w:rPr>
      </w:pPr>
      <w:bookmarkStart w:id="3" w:name="_Toc24457"/>
      <w:r>
        <w:rPr>
          <w:rFonts w:hint="eastAsia" w:ascii="仿宋" w:hAnsi="仿宋" w:eastAsia="仿宋" w:cs="仿宋"/>
          <w:b/>
        </w:rPr>
        <w:t>2.1 感知层：城市级物联网全域感知网络</w:t>
      </w:r>
      <w:bookmarkEnd w:id="3"/>
    </w:p>
    <w:p w14:paraId="00AA1F50">
      <w:pPr>
        <w:pStyle w:val="27"/>
        <w:spacing w:line="360" w:lineRule="auto"/>
        <w:ind w:firstLine="480"/>
        <w:rPr>
          <w:rFonts w:hint="eastAsia" w:ascii="仿宋" w:hAnsi="仿宋" w:eastAsia="仿宋" w:cs="仿宋"/>
        </w:rPr>
      </w:pPr>
      <w:r>
        <w:rPr>
          <w:rFonts w:hint="eastAsia" w:ascii="仿宋" w:hAnsi="仿宋" w:eastAsia="仿宋" w:cs="仿宋"/>
        </w:rPr>
        <w:t>感知层是体系的感官末梢，负责将城市物理世界的多维状态转化为结构化数据。</w:t>
      </w:r>
    </w:p>
    <w:p w14:paraId="197FF677">
      <w:pPr>
        <w:pStyle w:val="3"/>
        <w:spacing w:line="360" w:lineRule="auto"/>
        <w:rPr>
          <w:rFonts w:hint="eastAsia" w:ascii="仿宋" w:hAnsi="仿宋" w:eastAsia="仿宋" w:cs="仿宋"/>
        </w:rPr>
      </w:pPr>
      <w:r>
        <w:rPr>
          <w:rFonts w:hint="eastAsia" w:ascii="仿宋" w:hAnsi="仿宋" w:eastAsia="仿宋" w:cs="仿宋"/>
        </w:rPr>
        <w:t>感知维度涵盖六大类：视觉感知、环境感知、结构感知、交通感知、能源感知以及人员感知。</w:t>
      </w:r>
    </w:p>
    <w:p w14:paraId="5D1EE1C3">
      <w:pPr>
        <w:pStyle w:val="27"/>
        <w:spacing w:line="360" w:lineRule="auto"/>
        <w:ind w:firstLine="480"/>
        <w:rPr>
          <w:rFonts w:hint="eastAsia" w:ascii="仿宋" w:hAnsi="仿宋" w:eastAsia="仿宋" w:cs="仿宋"/>
        </w:rPr>
      </w:pPr>
      <w:r>
        <w:rPr>
          <w:rFonts w:hint="eastAsia" w:ascii="仿宋" w:hAnsi="仿宋" w:eastAsia="仿宋" w:cs="仿宋"/>
        </w:rPr>
        <w:t>城市感知的核心技术挑战在于多源异构数据的融合。不同传感器的采样频率、数据格式、精度和缺失模式差异显著，已有研究提出了基于概率图模型和状态空间滤波的多传感器异构数据融合框架，将多源数据的异构性建模为可统一处理的统计分布差异，其“异构同构化、不完整可计算化”的思路至今仍是城市感知数据融合的基础范式</w:t>
      </w:r>
      <w:r>
        <w:rPr>
          <w:rFonts w:hint="eastAsia" w:ascii="仿宋" w:hAnsi="仿宋" w:eastAsia="仿宋" w:cs="仿宋"/>
          <w:vertAlign w:val="superscript"/>
        </w:rPr>
        <w:t>[2]</w:t>
      </w:r>
      <w:r>
        <w:rPr>
          <w:rFonts w:hint="eastAsia" w:ascii="仿宋" w:hAnsi="仿宋" w:eastAsia="仿宋" w:cs="仿宋"/>
        </w:rPr>
        <w:t>。在系统层面，城市物联网的参考架构明确了从感知终端、通信协议到数据服务层的全栈设计原则，为城市级感知网络的标准化部署提供了技术蓝图</w:t>
      </w:r>
      <w:r>
        <w:rPr>
          <w:rFonts w:hint="eastAsia" w:ascii="仿宋" w:hAnsi="仿宋" w:eastAsia="仿宋" w:cs="仿宋"/>
          <w:vertAlign w:val="superscript"/>
        </w:rPr>
        <w:t>[3]</w:t>
      </w:r>
      <w:r>
        <w:rPr>
          <w:rFonts w:hint="eastAsia" w:ascii="仿宋" w:hAnsi="仿宋" w:eastAsia="仿宋" w:cs="仿宋"/>
        </w:rPr>
        <w:t>。</w:t>
      </w:r>
    </w:p>
    <w:p w14:paraId="01084152">
      <w:pPr>
        <w:pStyle w:val="3"/>
        <w:spacing w:line="360" w:lineRule="auto"/>
        <w:outlineLvl w:val="1"/>
        <w:rPr>
          <w:rFonts w:hint="eastAsia" w:ascii="仿宋" w:hAnsi="仿宋" w:eastAsia="仿宋" w:cs="仿宋"/>
          <w:b/>
        </w:rPr>
      </w:pPr>
      <w:bookmarkStart w:id="4" w:name="_Toc2941"/>
      <w:r>
        <w:rPr>
          <w:rFonts w:hint="eastAsia" w:ascii="仿宋" w:hAnsi="仿宋" w:eastAsia="仿宋" w:cs="仿宋"/>
          <w:b/>
        </w:rPr>
        <w:t>2.2 连接层：多网融合的城市级通信</w:t>
      </w:r>
      <w:bookmarkEnd w:id="4"/>
    </w:p>
    <w:p w14:paraId="0C28D74C">
      <w:pPr>
        <w:pStyle w:val="27"/>
        <w:spacing w:line="360" w:lineRule="auto"/>
        <w:ind w:firstLine="480"/>
        <w:rPr>
          <w:rFonts w:hint="eastAsia" w:ascii="仿宋" w:hAnsi="仿宋" w:eastAsia="仿宋" w:cs="仿宋"/>
        </w:rPr>
      </w:pPr>
      <w:r>
        <w:rPr>
          <w:rFonts w:hint="eastAsia" w:ascii="仿宋" w:hAnsi="仿宋" w:eastAsia="仿宋" w:cs="仿宋"/>
        </w:rPr>
        <w:t>连接层负责将海量感知数据从末端安全、低时延地送达计算节点，同时将控制指令下发至执行终端。城市治理的通信需求高度分化：地下管廊监控要求穿透数十米土层的可靠连接，自动驾驶协同依赖毫秒级时延的V2X通信，大规模视频回传则需要Gbps级上行带宽。单一通信体制难以同时覆盖这些极端差异化的场景，多网融合成为必然选择。</w:t>
      </w:r>
      <w:bookmarkStart w:id="17" w:name="_GoBack"/>
      <w:bookmarkEnd w:id="17"/>
    </w:p>
    <w:p w14:paraId="4C16F4CD">
      <w:pPr>
        <w:pStyle w:val="3"/>
        <w:spacing w:line="360" w:lineRule="auto"/>
        <w:outlineLvl w:val="1"/>
        <w:rPr>
          <w:rFonts w:hint="eastAsia" w:ascii="仿宋" w:hAnsi="仿宋" w:eastAsia="仿宋" w:cs="仿宋"/>
          <w:b/>
        </w:rPr>
      </w:pPr>
      <w:bookmarkStart w:id="5" w:name="_Toc31414"/>
      <w:r>
        <w:rPr>
          <w:rFonts w:hint="eastAsia" w:ascii="仿宋" w:hAnsi="仿宋" w:eastAsia="仿宋" w:cs="仿宋"/>
          <w:b/>
        </w:rPr>
        <w:t>2.3 计算层：边缘-云端协同智能</w:t>
      </w:r>
      <w:bookmarkEnd w:id="5"/>
    </w:p>
    <w:p w14:paraId="27BA3C58">
      <w:pPr>
        <w:pStyle w:val="27"/>
        <w:spacing w:line="360" w:lineRule="auto"/>
        <w:ind w:firstLine="480"/>
        <w:rPr>
          <w:rFonts w:hint="eastAsia" w:ascii="仿宋" w:hAnsi="仿宋" w:eastAsia="仿宋" w:cs="仿宋"/>
        </w:rPr>
      </w:pPr>
      <w:r>
        <w:rPr>
          <w:rFonts w:hint="eastAsia" w:ascii="仿宋" w:hAnsi="仿宋" w:eastAsia="仿宋" w:cs="仿宋"/>
        </w:rPr>
        <w:t>城市治理产生的数据量极为庞大。以中型城市为例，仅公安视频专网每天产生的数据即达PB级别。全部数据回传云端处理既不经济也不可行。</w:t>
      </w:r>
    </w:p>
    <w:p w14:paraId="2EA9D24A">
      <w:pPr>
        <w:pStyle w:val="27"/>
        <w:spacing w:line="360" w:lineRule="auto"/>
        <w:ind w:firstLine="480"/>
        <w:rPr>
          <w:rFonts w:hint="eastAsia" w:ascii="仿宋" w:hAnsi="仿宋" w:eastAsia="仿宋" w:cs="仿宋"/>
        </w:rPr>
      </w:pPr>
      <w:r>
        <w:rPr>
          <w:rFonts w:hint="eastAsia" w:ascii="仿宋" w:hAnsi="仿宋" w:eastAsia="仿宋" w:cs="仿宋"/>
        </w:rPr>
        <w:t>边缘－云端协同遵循“实时决策在边缘、复杂分析在云端、模型训练在云端、推理部署在边缘”的分工原则。物体识别和行为分析等中等复杂度推理在边缘服务器完成；大模型训练和知识更新在云端进行，通过模型蒸馏和联邦学习将轻量化模型下发至边缘节点。边缘计算领域的系统性研究已论证，在数据源头完成实时处理可显著降低网络带宽压力，同时满足低时延和隐私保护的刚性需求</w:t>
      </w:r>
      <w:r>
        <w:rPr>
          <w:rFonts w:hint="eastAsia" w:ascii="仿宋" w:hAnsi="仿宋" w:eastAsia="仿宋" w:cs="仿宋"/>
          <w:vertAlign w:val="superscript"/>
        </w:rPr>
        <w:t>[4]</w:t>
      </w:r>
      <w:r>
        <w:rPr>
          <w:rFonts w:hint="eastAsia" w:ascii="仿宋" w:hAnsi="仿宋" w:eastAsia="仿宋" w:cs="仿宋"/>
        </w:rPr>
        <w:t>。</w:t>
      </w:r>
    </w:p>
    <w:p w14:paraId="43F51DF3">
      <w:pPr>
        <w:pStyle w:val="27"/>
        <w:spacing w:line="360" w:lineRule="auto"/>
        <w:ind w:firstLine="480"/>
        <w:rPr>
          <w:rFonts w:hint="eastAsia" w:ascii="仿宋" w:hAnsi="仿宋" w:eastAsia="仿宋" w:cs="仿宋"/>
        </w:rPr>
      </w:pPr>
      <w:r>
        <w:rPr>
          <w:rFonts w:hint="eastAsia" w:ascii="仿宋" w:hAnsi="仿宋" w:eastAsia="仿宋" w:cs="仿宋"/>
        </w:rPr>
        <w:t>在多源联邦学习场景下，跨部门数据共享面临隐私保护</w:t>
      </w:r>
      <w:r>
        <w:rPr>
          <w:rFonts w:hint="eastAsia" w:ascii="仿宋" w:hAnsi="仿宋" w:eastAsia="仿宋" w:cs="仿宋"/>
          <w:lang w:val="en-US" w:eastAsia="zh-CN"/>
        </w:rPr>
        <w:t>问题</w:t>
      </w:r>
      <w:r>
        <w:rPr>
          <w:rFonts w:hint="eastAsia" w:ascii="仿宋" w:hAnsi="仿宋" w:eastAsia="仿宋" w:cs="仿宋"/>
        </w:rPr>
        <w:t>。针对这一问题，结构感知的局部差分隐私方法提供了差异化的隐私预算分配机制，在统计可用性和个体隐私保护之间取得更优平衡</w:t>
      </w:r>
      <w:r>
        <w:rPr>
          <w:rFonts w:hint="eastAsia" w:ascii="仿宋" w:hAnsi="仿宋" w:eastAsia="仿宋" w:cs="仿宋"/>
          <w:vertAlign w:val="superscript"/>
        </w:rPr>
        <w:t>[5]</w:t>
      </w:r>
      <w:r>
        <w:rPr>
          <w:rFonts w:hint="eastAsia" w:ascii="仿宋" w:hAnsi="仿宋" w:eastAsia="仿宋" w:cs="仿宋"/>
        </w:rPr>
        <w:t>。</w:t>
      </w:r>
    </w:p>
    <w:p w14:paraId="2D8ACE8B">
      <w:pPr>
        <w:pStyle w:val="3"/>
        <w:spacing w:line="360" w:lineRule="auto"/>
        <w:outlineLvl w:val="1"/>
        <w:rPr>
          <w:rFonts w:hint="eastAsia" w:ascii="仿宋" w:hAnsi="仿宋" w:eastAsia="仿宋" w:cs="仿宋"/>
          <w:b/>
        </w:rPr>
      </w:pPr>
      <w:bookmarkStart w:id="6" w:name="_Toc3138"/>
      <w:r>
        <w:rPr>
          <w:rFonts w:hint="eastAsia" w:ascii="仿宋" w:hAnsi="仿宋" w:eastAsia="仿宋" w:cs="仿宋"/>
          <w:b/>
        </w:rPr>
        <w:t>2.4 平台层：数字孪生与智能决策引擎</w:t>
      </w:r>
      <w:bookmarkEnd w:id="6"/>
    </w:p>
    <w:p w14:paraId="4122671D">
      <w:pPr>
        <w:pStyle w:val="27"/>
        <w:spacing w:line="360" w:lineRule="auto"/>
        <w:ind w:firstLine="480"/>
        <w:rPr>
          <w:rFonts w:hint="eastAsia" w:ascii="仿宋" w:hAnsi="仿宋" w:eastAsia="仿宋" w:cs="仿宋"/>
        </w:rPr>
      </w:pPr>
      <w:r>
        <w:rPr>
          <w:rFonts w:hint="eastAsia" w:ascii="仿宋" w:hAnsi="仿宋" w:eastAsia="仿宋" w:cs="仿宋"/>
        </w:rPr>
        <w:t>平台层是体系的大脑，负责将多源异构数据融合为统一的城市运行态势，支撑决策和调度。</w:t>
      </w:r>
    </w:p>
    <w:p w14:paraId="5FDA9B59">
      <w:pPr>
        <w:pStyle w:val="27"/>
        <w:spacing w:line="360" w:lineRule="auto"/>
        <w:ind w:firstLine="480"/>
        <w:rPr>
          <w:rFonts w:hint="eastAsia" w:ascii="仿宋" w:hAnsi="仿宋" w:eastAsia="仿宋" w:cs="仿宋"/>
        </w:rPr>
      </w:pPr>
      <w:r>
        <w:rPr>
          <w:rFonts w:hint="eastAsia" w:ascii="仿宋" w:hAnsi="仿宋" w:eastAsia="仿宋" w:cs="仿宋"/>
        </w:rPr>
        <w:t>数字孪生城市平台是平台层的核心载体。数字孪生概念源自工业制造领域，其三维模型</w:t>
      </w:r>
      <w:r>
        <w:rPr>
          <w:rFonts w:hint="eastAsia" w:ascii="仿宋" w:hAnsi="仿宋" w:eastAsia="仿宋" w:cs="仿宋"/>
          <w:lang w:eastAsia="zh-CN"/>
        </w:rPr>
        <w:t>：</w:t>
      </w:r>
      <w:r>
        <w:rPr>
          <w:rFonts w:hint="eastAsia" w:ascii="仿宋" w:hAnsi="仿宋" w:eastAsia="仿宋" w:cs="仿宋"/>
        </w:rPr>
        <w:t>物理实体、虚拟实体及两者之间的数据连接</w:t>
      </w:r>
      <w:r>
        <w:rPr>
          <w:rFonts w:hint="eastAsia" w:ascii="仿宋" w:hAnsi="仿宋" w:eastAsia="仿宋" w:cs="仿宋"/>
          <w:lang w:eastAsia="zh-CN"/>
        </w:rPr>
        <w:t>。</w:t>
      </w:r>
      <w:r>
        <w:rPr>
          <w:rFonts w:hint="eastAsia" w:ascii="仿宋" w:hAnsi="仿宋" w:eastAsia="仿宋" w:cs="仿宋"/>
        </w:rPr>
        <w:t>奠定了该技术向城市治理领域扩散的理论基础</w:t>
      </w:r>
      <w:r>
        <w:rPr>
          <w:rFonts w:hint="eastAsia" w:ascii="仿宋" w:hAnsi="仿宋" w:eastAsia="仿宋" w:cs="仿宋"/>
          <w:vertAlign w:val="superscript"/>
        </w:rPr>
        <w:t>[6]</w:t>
      </w:r>
      <w:r>
        <w:rPr>
          <w:rFonts w:hint="eastAsia" w:ascii="仿宋" w:hAnsi="仿宋" w:eastAsia="仿宋" w:cs="仿宋"/>
        </w:rPr>
        <w:t>。</w:t>
      </w:r>
    </w:p>
    <w:p w14:paraId="6086A109">
      <w:pPr>
        <w:pStyle w:val="27"/>
        <w:spacing w:line="360" w:lineRule="auto"/>
        <w:ind w:firstLine="480"/>
        <w:rPr>
          <w:rFonts w:hint="eastAsia" w:ascii="仿宋" w:hAnsi="仿宋" w:eastAsia="仿宋" w:cs="仿宋"/>
        </w:rPr>
      </w:pPr>
      <w:r>
        <w:rPr>
          <w:rFonts w:hint="eastAsia" w:ascii="仿宋" w:hAnsi="仿宋" w:eastAsia="仿宋" w:cs="仿宋"/>
        </w:rPr>
        <w:t>在大模型与数字孪生的融合方向上，联邦持续学习与大语言模型相结合的技术路线展现出显著潜力。通过在多个分布式数据源上以联邦方式持续微调大语言模型，数字孪生系统能够在保护隐私的前提下持续学习城市运行的动态模式，实现对城市状态的语义级理解与趋势预测</w:t>
      </w:r>
      <w:r>
        <w:rPr>
          <w:rFonts w:hint="eastAsia" w:ascii="仿宋" w:hAnsi="仿宋" w:eastAsia="仿宋" w:cs="仿宋"/>
          <w:vertAlign w:val="superscript"/>
        </w:rPr>
        <w:t>[7]</w:t>
      </w:r>
      <w:r>
        <w:rPr>
          <w:rFonts w:hint="eastAsia" w:ascii="仿宋" w:hAnsi="仿宋" w:eastAsia="仿宋" w:cs="仿宋"/>
        </w:rPr>
        <w:t>。</w:t>
      </w:r>
      <w:r>
        <w:rPr>
          <w:rFonts w:hint="eastAsia" w:ascii="仿宋" w:hAnsi="仿宋" w:eastAsia="仿宋" w:cs="仿宋"/>
          <w:lang w:val="en-US" w:eastAsia="zh-CN"/>
        </w:rPr>
        <w:t>此外</w:t>
      </w:r>
      <w:r>
        <w:rPr>
          <w:rFonts w:hint="eastAsia" w:ascii="仿宋" w:hAnsi="仿宋" w:eastAsia="仿宋" w:cs="仿宋"/>
        </w:rPr>
        <w:t>中国信息通信研究院发布的《数字孪生城市白皮书》系统梳理了我国数字孪生城市从概念培育走向落地实施的总体进展，提出了“感知－连接－计算－平台－应用”的五层技术参考模型</w:t>
      </w:r>
      <w:r>
        <w:rPr>
          <w:rFonts w:hint="eastAsia" w:ascii="仿宋" w:hAnsi="仿宋" w:eastAsia="仿宋" w:cs="仿宋"/>
          <w:vertAlign w:val="superscript"/>
        </w:rPr>
        <w:t>[8]</w:t>
      </w:r>
      <w:r>
        <w:rPr>
          <w:rFonts w:hint="eastAsia" w:ascii="仿宋" w:hAnsi="仿宋" w:eastAsia="仿宋" w:cs="仿宋"/>
        </w:rPr>
        <w:t>。</w:t>
      </w:r>
    </w:p>
    <w:p w14:paraId="5D78D900">
      <w:pPr>
        <w:pStyle w:val="3"/>
        <w:spacing w:line="360" w:lineRule="auto"/>
        <w:outlineLvl w:val="1"/>
        <w:rPr>
          <w:rFonts w:hint="eastAsia" w:ascii="仿宋" w:hAnsi="仿宋" w:eastAsia="仿宋" w:cs="仿宋"/>
          <w:b/>
        </w:rPr>
      </w:pPr>
      <w:bookmarkStart w:id="7" w:name="_Toc20652"/>
      <w:r>
        <w:rPr>
          <w:rFonts w:hint="eastAsia" w:ascii="仿宋" w:hAnsi="仿宋" w:eastAsia="仿宋" w:cs="仿宋"/>
          <w:b/>
        </w:rPr>
        <w:t>2.5 执行层：具身智能终端集群</w:t>
      </w:r>
      <w:bookmarkEnd w:id="7"/>
    </w:p>
    <w:p w14:paraId="0029B31D">
      <w:pPr>
        <w:pStyle w:val="27"/>
        <w:spacing w:line="360" w:lineRule="auto"/>
        <w:ind w:firstLine="480"/>
        <w:rPr>
          <w:rFonts w:hint="eastAsia" w:ascii="仿宋" w:hAnsi="仿宋" w:eastAsia="仿宋" w:cs="仿宋"/>
        </w:rPr>
      </w:pPr>
      <w:r>
        <w:rPr>
          <w:rFonts w:hint="eastAsia" w:ascii="仿宋" w:hAnsi="仿宋" w:eastAsia="仿宋" w:cs="仿宋"/>
        </w:rPr>
        <w:t>执行层是体系在物理世界中的“手和脚”，负责将决策转化为物理行动，是城市治理从“信息化”迈向“具身智能化”的关键增量环节。</w:t>
      </w:r>
    </w:p>
    <w:p w14:paraId="5AC91868">
      <w:pPr>
        <w:pStyle w:val="27"/>
        <w:spacing w:line="360" w:lineRule="auto"/>
        <w:ind w:firstLine="480"/>
        <w:rPr>
          <w:rFonts w:hint="eastAsia" w:ascii="仿宋" w:hAnsi="仿宋" w:eastAsia="仿宋" w:cs="仿宋"/>
          <w:lang w:eastAsia="zh-CN"/>
        </w:rPr>
      </w:pPr>
      <w:r>
        <w:rPr>
          <w:rFonts w:hint="eastAsia" w:ascii="仿宋" w:hAnsi="仿宋" w:eastAsia="仿宋" w:cs="仿宋"/>
        </w:rPr>
        <w:t>执行层的核心技术栈包括三个层面。在定位与导航层面，基于视觉－惯性－激光雷达的多传感器融合方案支撑在不同地形和遮蔽条件下的自主导航能力。在任务理解层面，2023年发布的视觉－语言－行动（VLA）模型首次展示了将互联网规模的视觉语言知识直接迁移至机器人物理控制任务的可能性，使执行终端能够理解自然语言指令、自主分解任务步骤并执行操作</w:t>
      </w:r>
      <w:r>
        <w:rPr>
          <w:rFonts w:hint="eastAsia" w:ascii="仿宋" w:hAnsi="仿宋" w:eastAsia="仿宋" w:cs="仿宋"/>
          <w:vertAlign w:val="superscript"/>
        </w:rPr>
        <w:t>[9]</w:t>
      </w:r>
      <w:r>
        <w:rPr>
          <w:rFonts w:hint="eastAsia" w:ascii="仿宋" w:hAnsi="仿宋" w:eastAsia="仿宋" w:cs="仿宋"/>
        </w:rPr>
        <w:t>。在部署形态上，这些核心能力可根据场景需求搭载于轮式移动平台、无人机、四足机器人或固定执行设备等多种载体</w:t>
      </w:r>
      <w:r>
        <w:rPr>
          <w:rFonts w:hint="eastAsia" w:ascii="仿宋" w:hAnsi="仿宋" w:eastAsia="仿宋" w:cs="仿宋"/>
          <w:lang w:eastAsia="zh-CN"/>
        </w:rPr>
        <w:t>。</w:t>
      </w:r>
    </w:p>
    <w:p w14:paraId="6FBA2273">
      <w:pPr>
        <w:pStyle w:val="3"/>
        <w:spacing w:line="360" w:lineRule="auto"/>
        <w:outlineLvl w:val="0"/>
        <w:rPr>
          <w:rFonts w:hint="eastAsia" w:ascii="黑体" w:hAnsi="黑体" w:eastAsia="黑体" w:cs="黑体"/>
          <w:bCs/>
        </w:rPr>
      </w:pPr>
      <w:bookmarkStart w:id="8" w:name="_Toc5171"/>
      <w:r>
        <w:rPr>
          <w:rFonts w:hint="eastAsia" w:ascii="黑体" w:hAnsi="黑体" w:eastAsia="黑体" w:cs="黑体"/>
          <w:bCs/>
        </w:rPr>
        <w:t>三、典型应用场景</w:t>
      </w:r>
      <w:bookmarkEnd w:id="8"/>
    </w:p>
    <w:p w14:paraId="52C887BE">
      <w:pPr>
        <w:pStyle w:val="27"/>
        <w:spacing w:line="360" w:lineRule="auto"/>
        <w:ind w:firstLine="480"/>
        <w:rPr>
          <w:rFonts w:hint="eastAsia" w:ascii="仿宋" w:hAnsi="仿宋" w:eastAsia="仿宋" w:cs="仿宋"/>
        </w:rPr>
      </w:pPr>
      <w:r>
        <w:rPr>
          <w:rFonts w:hint="eastAsia" w:ascii="仿宋" w:hAnsi="仿宋" w:eastAsia="仿宋" w:cs="仿宋"/>
        </w:rPr>
        <w:t>物联网与具身智能技术的融合在城市治理中正从“试点示范”走向“系统部署”。</w:t>
      </w:r>
    </w:p>
    <w:p w14:paraId="720C6880">
      <w:pPr>
        <w:pStyle w:val="3"/>
        <w:spacing w:line="360" w:lineRule="auto"/>
        <w:outlineLvl w:val="1"/>
        <w:rPr>
          <w:rFonts w:hint="eastAsia" w:ascii="仿宋" w:hAnsi="仿宋" w:eastAsia="仿宋" w:cs="仿宋"/>
          <w:b/>
        </w:rPr>
      </w:pPr>
      <w:bookmarkStart w:id="9" w:name="_Toc25469"/>
      <w:r>
        <w:rPr>
          <w:rFonts w:hint="eastAsia" w:ascii="仿宋" w:hAnsi="仿宋" w:eastAsia="仿宋" w:cs="仿宋"/>
          <w:b/>
        </w:rPr>
        <w:t>3.1 城市公共安全与应急管理</w:t>
      </w:r>
      <w:bookmarkEnd w:id="9"/>
    </w:p>
    <w:p w14:paraId="6111E697">
      <w:pPr>
        <w:pStyle w:val="27"/>
        <w:spacing w:line="360" w:lineRule="auto"/>
        <w:ind w:firstLine="480"/>
        <w:rPr>
          <w:rFonts w:hint="eastAsia" w:ascii="仿宋" w:hAnsi="仿宋" w:eastAsia="仿宋" w:cs="仿宋"/>
        </w:rPr>
      </w:pPr>
      <w:r>
        <w:rPr>
          <w:rFonts w:hint="eastAsia" w:ascii="仿宋" w:hAnsi="仿宋" w:eastAsia="仿宋" w:cs="仿宋"/>
        </w:rPr>
        <w:t>公共安全是城市治理的首位需求。物联网感知网络提供“城市的感官”——烟感、燃气传感器、结构应力传感器、水位计与视频AI分析共同构成多模态异常检测网络。具身智能提供“城市的手脚”——在火灾初起阶段，消防机器人可协同固定灭火装置执行初期灭火和人员搜救；在有毒有害气体泄漏场景中，防爆巡检机器人可替代人员进入危险区域执行阀门定位和堵漏操作；在地震或建筑物坍塌场景中，蛇形机器人和四足机器人可进入废墟缝隙进行生命探测和通信中继。</w:t>
      </w:r>
    </w:p>
    <w:p w14:paraId="06C824DF">
      <w:pPr>
        <w:pStyle w:val="3"/>
        <w:spacing w:line="360" w:lineRule="auto"/>
        <w:jc w:val="center"/>
        <w:rPr>
          <w:rFonts w:hint="eastAsia" w:ascii="仿宋" w:hAnsi="仿宋" w:eastAsia="仿宋" w:cs="仿宋"/>
        </w:rPr>
      </w:pPr>
      <w:r>
        <w:rPr>
          <w:rFonts w:hint="eastAsia" w:ascii="仿宋" w:hAnsi="仿宋" w:eastAsia="仿宋" w:cs="仿宋"/>
        </w:rPr>
        <w:drawing>
          <wp:inline distT="0" distB="0" distL="114300" distR="114300">
            <wp:extent cx="4345305" cy="2445385"/>
            <wp:effectExtent l="0" t="0" r="571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345305" cy="2445385"/>
                    </a:xfrm>
                    <a:prstGeom prst="rect">
                      <a:avLst/>
                    </a:prstGeom>
                    <a:noFill/>
                    <a:ln>
                      <a:noFill/>
                    </a:ln>
                  </pic:spPr>
                </pic:pic>
              </a:graphicData>
            </a:graphic>
          </wp:inline>
        </w:drawing>
      </w:r>
    </w:p>
    <w:p w14:paraId="473B35B6">
      <w:pPr>
        <w:pStyle w:val="3"/>
        <w:spacing w:line="360" w:lineRule="auto"/>
        <w:outlineLvl w:val="1"/>
        <w:rPr>
          <w:rFonts w:hint="eastAsia" w:ascii="仿宋" w:hAnsi="仿宋" w:eastAsia="仿宋" w:cs="仿宋"/>
          <w:b/>
        </w:rPr>
      </w:pPr>
      <w:bookmarkStart w:id="10" w:name="_Toc879"/>
      <w:r>
        <w:rPr>
          <w:rFonts w:hint="eastAsia" w:ascii="仿宋" w:hAnsi="仿宋" w:eastAsia="仿宋" w:cs="仿宋"/>
          <w:b/>
        </w:rPr>
        <w:t>3.2 智能交通与物流治理</w:t>
      </w:r>
      <w:bookmarkEnd w:id="10"/>
    </w:p>
    <w:p w14:paraId="45885185">
      <w:pPr>
        <w:pStyle w:val="27"/>
        <w:spacing w:line="360" w:lineRule="auto"/>
        <w:ind w:firstLine="480"/>
        <w:rPr>
          <w:rFonts w:hint="eastAsia" w:ascii="仿宋" w:hAnsi="仿宋" w:eastAsia="仿宋" w:cs="仿宋"/>
        </w:rPr>
      </w:pPr>
      <w:r>
        <w:rPr>
          <w:rFonts w:hint="eastAsia" w:ascii="仿宋" w:hAnsi="仿宋" w:eastAsia="仿宋" w:cs="仿宋"/>
        </w:rPr>
        <w:t>交通治理是城市治理中数据密度最高、时效性最强的领域。路侧感知单元与车载传感器、手机信令构成多源交通感知网络，边缘计算节点实时生成路口和路段级的交通态势，云端进行区域信号配时优化和交通流预测。具身智能的融入增添了物理执行能力：自动驾驶道路巡检车可按数字孪生平台规划的最优路线执行路面病害巡查，自动标记并上报坑槽、裂缝等异常；事故现场处理机器人可在交警到达前先行抵达，进行警示标志布设和初步勘查；无人机在高峰时段提供俯瞰视角的交通流监控，协助指挥中心动态调整信号配时策略。</w:t>
      </w:r>
    </w:p>
    <w:p w14:paraId="19AC4352">
      <w:pPr>
        <w:pStyle w:val="3"/>
        <w:spacing w:line="360" w:lineRule="auto"/>
        <w:rPr>
          <w:rFonts w:hint="eastAsia" w:ascii="仿宋" w:hAnsi="仿宋" w:eastAsia="仿宋" w:cs="仿宋"/>
        </w:rPr>
      </w:pPr>
      <w:r>
        <w:rPr>
          <w:rFonts w:hint="eastAsia" w:ascii="仿宋" w:hAnsi="仿宋" w:eastAsia="仿宋" w:cs="仿宋"/>
        </w:rPr>
        <w:drawing>
          <wp:inline distT="0" distB="0" distL="114300" distR="114300">
            <wp:extent cx="5478780" cy="3083560"/>
            <wp:effectExtent l="0" t="0" r="762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478780" cy="3083560"/>
                    </a:xfrm>
                    <a:prstGeom prst="rect">
                      <a:avLst/>
                    </a:prstGeom>
                    <a:noFill/>
                    <a:ln>
                      <a:noFill/>
                    </a:ln>
                  </pic:spPr>
                </pic:pic>
              </a:graphicData>
            </a:graphic>
          </wp:inline>
        </w:drawing>
      </w:r>
    </w:p>
    <w:p w14:paraId="009F58C4">
      <w:pPr>
        <w:pStyle w:val="3"/>
        <w:spacing w:line="360" w:lineRule="auto"/>
        <w:outlineLvl w:val="1"/>
        <w:rPr>
          <w:rFonts w:hint="eastAsia" w:ascii="仿宋" w:hAnsi="仿宋" w:eastAsia="仿宋" w:cs="仿宋"/>
          <w:b/>
        </w:rPr>
      </w:pPr>
      <w:bookmarkStart w:id="11" w:name="_Toc10202"/>
      <w:r>
        <w:rPr>
          <w:rFonts w:hint="eastAsia" w:ascii="仿宋" w:hAnsi="仿宋" w:eastAsia="仿宋" w:cs="仿宋"/>
          <w:b/>
        </w:rPr>
        <w:t>3.3 城市地下空间与基础设施运维</w:t>
      </w:r>
      <w:bookmarkEnd w:id="11"/>
    </w:p>
    <w:p w14:paraId="7C1CFE9D">
      <w:pPr>
        <w:pStyle w:val="27"/>
        <w:spacing w:line="360" w:lineRule="auto"/>
        <w:ind w:firstLine="480"/>
        <w:rPr>
          <w:rFonts w:hint="eastAsia" w:ascii="仿宋" w:hAnsi="仿宋" w:eastAsia="仿宋" w:cs="仿宋"/>
        </w:rPr>
      </w:pPr>
      <w:r>
        <w:rPr>
          <w:rFonts w:hint="eastAsia" w:ascii="仿宋" w:hAnsi="仿宋" w:eastAsia="仿宋" w:cs="仿宋"/>
        </w:rPr>
        <w:t>城市地下空间——综合管廊、地下停车场、地铁隧道、排水管网——是城市治理的“盲区”和“痛点”。地下空间GPS信号拒止、通信困难、环境恶劣，传统人工定期巡检模式效率低、风险高。“物联网+具身智能”为此提供了精细化方案：沿管廊部署的温湿度、烟雾、甲烷、结构裂缝传感器构成长期监测基线；悬挂式轨道巡检机器人和四足机器人搭载高清相机、热红外成像仪、气体检测仪执行自动巡检，AI视觉算法实时识别渗漏、裂缝、锈蚀等异常并自动回传告警。</w:t>
      </w:r>
    </w:p>
    <w:p w14:paraId="7F60BBB4">
      <w:pPr>
        <w:pStyle w:val="3"/>
        <w:spacing w:line="360" w:lineRule="auto"/>
        <w:rPr>
          <w:rFonts w:hint="eastAsia" w:ascii="仿宋" w:hAnsi="仿宋" w:eastAsia="仿宋" w:cs="仿宋"/>
        </w:rPr>
      </w:pPr>
      <w:r>
        <w:rPr>
          <w:rFonts w:hint="eastAsia" w:ascii="仿宋" w:hAnsi="仿宋" w:eastAsia="仿宋" w:cs="仿宋"/>
        </w:rPr>
        <w:drawing>
          <wp:inline distT="0" distB="0" distL="114300" distR="114300">
            <wp:extent cx="5478780" cy="3083560"/>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478780" cy="3083560"/>
                    </a:xfrm>
                    <a:prstGeom prst="rect">
                      <a:avLst/>
                    </a:prstGeom>
                    <a:noFill/>
                    <a:ln>
                      <a:noFill/>
                    </a:ln>
                  </pic:spPr>
                </pic:pic>
              </a:graphicData>
            </a:graphic>
          </wp:inline>
        </w:drawing>
      </w:r>
    </w:p>
    <w:p w14:paraId="3D0DD8B5">
      <w:pPr>
        <w:pStyle w:val="3"/>
        <w:spacing w:line="360" w:lineRule="auto"/>
        <w:outlineLvl w:val="1"/>
        <w:rPr>
          <w:rFonts w:hint="eastAsia" w:ascii="仿宋" w:hAnsi="仿宋" w:eastAsia="仿宋" w:cs="仿宋"/>
          <w:b/>
        </w:rPr>
      </w:pPr>
      <w:bookmarkStart w:id="12" w:name="_Toc25796"/>
      <w:r>
        <w:rPr>
          <w:rFonts w:hint="eastAsia" w:ascii="仿宋" w:hAnsi="仿宋" w:eastAsia="仿宋" w:cs="仿宋"/>
          <w:b/>
        </w:rPr>
        <w:t>3.4 城市环境治理</w:t>
      </w:r>
      <w:bookmarkEnd w:id="12"/>
    </w:p>
    <w:p w14:paraId="573F7C62">
      <w:pPr>
        <w:pStyle w:val="27"/>
        <w:spacing w:line="360" w:lineRule="auto"/>
        <w:ind w:firstLine="480"/>
        <w:rPr>
          <w:rFonts w:hint="eastAsia" w:ascii="仿宋" w:hAnsi="仿宋" w:eastAsia="仿宋" w:cs="仿宋"/>
        </w:rPr>
      </w:pPr>
      <w:r>
        <w:rPr>
          <w:rFonts w:hint="eastAsia" w:ascii="仿宋" w:hAnsi="仿宋" w:eastAsia="仿宋" w:cs="仿宋"/>
        </w:rPr>
        <w:t>大气污染防治、水体监测、噪声治理、固废管理是城市环境治理的四大板块。物联网传感器提供精细化监测——网格化空气质量微站（每1-3平方公里一个）、河道水质在线浮标、噪声自动监测终端、智能垃圾桶满溢传感器。具身智能执行终端完成响应动作：无人清扫车根据路面洁净度地图动态规划清扫路线和频率；水面清洁机器人自动收集漂浮垃圾；无人机搭载气体采样吊舱在高污染时段升空进行大气垂直剖面监测，锁定污染传输通道。</w:t>
      </w:r>
    </w:p>
    <w:p w14:paraId="39939345">
      <w:pPr>
        <w:pStyle w:val="3"/>
        <w:spacing w:line="360" w:lineRule="auto"/>
        <w:rPr>
          <w:rFonts w:hint="eastAsia" w:ascii="仿宋" w:hAnsi="仿宋" w:eastAsia="仿宋" w:cs="仿宋"/>
        </w:rPr>
      </w:pPr>
      <w:r>
        <w:rPr>
          <w:rFonts w:hint="eastAsia" w:ascii="仿宋" w:hAnsi="仿宋" w:eastAsia="仿宋" w:cs="仿宋"/>
        </w:rPr>
        <w:drawing>
          <wp:inline distT="0" distB="0" distL="114300" distR="114300">
            <wp:extent cx="5478780" cy="3083560"/>
            <wp:effectExtent l="0" t="0" r="762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78780" cy="3083560"/>
                    </a:xfrm>
                    <a:prstGeom prst="rect">
                      <a:avLst/>
                    </a:prstGeom>
                    <a:noFill/>
                    <a:ln>
                      <a:noFill/>
                    </a:ln>
                  </pic:spPr>
                </pic:pic>
              </a:graphicData>
            </a:graphic>
          </wp:inline>
        </w:drawing>
      </w:r>
    </w:p>
    <w:p w14:paraId="6D858578">
      <w:pPr>
        <w:pStyle w:val="3"/>
        <w:spacing w:line="360" w:lineRule="auto"/>
        <w:outlineLvl w:val="1"/>
        <w:rPr>
          <w:rFonts w:hint="eastAsia" w:ascii="仿宋" w:hAnsi="仿宋" w:eastAsia="仿宋" w:cs="仿宋"/>
          <w:b/>
        </w:rPr>
      </w:pPr>
      <w:bookmarkStart w:id="13" w:name="_Toc19119"/>
      <w:r>
        <w:rPr>
          <w:rFonts w:hint="eastAsia" w:ascii="仿宋" w:hAnsi="仿宋" w:eastAsia="仿宋" w:cs="仿宋"/>
          <w:b/>
        </w:rPr>
        <w:t>3.5 城市社区服务与民生保障</w:t>
      </w:r>
      <w:bookmarkEnd w:id="13"/>
    </w:p>
    <w:p w14:paraId="365E50C5">
      <w:pPr>
        <w:pStyle w:val="27"/>
        <w:spacing w:line="360" w:lineRule="auto"/>
        <w:ind w:firstLine="480"/>
        <w:rPr>
          <w:rFonts w:hint="eastAsia" w:ascii="仿宋" w:hAnsi="仿宋" w:eastAsia="仿宋" w:cs="仿宋"/>
        </w:rPr>
      </w:pPr>
      <w:r>
        <w:rPr>
          <w:rFonts w:hint="eastAsia" w:ascii="仿宋" w:hAnsi="仿宋" w:eastAsia="仿宋" w:cs="仿宋"/>
        </w:rPr>
        <w:t>在社区治理层面，物联网与具身智能的结合更贴近市民日常生活。智能门禁和安防摄像头构成社区安全感知层；配送机器人和快递无人车解决最后500米末端配送难题；老年人居家安全监测系统（门窗磁、红外人体感应、紧急呼叫按钮）与社区响应机器人联动，在检测到异常时由机器人先行上门查看，降低社区工作人员的响应压力。</w:t>
      </w:r>
    </w:p>
    <w:p w14:paraId="5B4D58ED">
      <w:pPr>
        <w:pStyle w:val="3"/>
        <w:spacing w:line="360" w:lineRule="auto"/>
        <w:rPr>
          <w:rFonts w:hint="eastAsia" w:ascii="仿宋" w:hAnsi="仿宋" w:eastAsia="仿宋" w:cs="仿宋"/>
        </w:rPr>
      </w:pPr>
      <w:r>
        <w:rPr>
          <w:rFonts w:hint="eastAsia" w:ascii="仿宋" w:hAnsi="仿宋" w:eastAsia="仿宋" w:cs="仿宋"/>
        </w:rPr>
        <w:drawing>
          <wp:inline distT="0" distB="0" distL="114300" distR="114300">
            <wp:extent cx="5478780" cy="3083560"/>
            <wp:effectExtent l="0" t="0" r="762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478780" cy="3083560"/>
                    </a:xfrm>
                    <a:prstGeom prst="rect">
                      <a:avLst/>
                    </a:prstGeom>
                    <a:noFill/>
                    <a:ln>
                      <a:noFill/>
                    </a:ln>
                  </pic:spPr>
                </pic:pic>
              </a:graphicData>
            </a:graphic>
          </wp:inline>
        </w:drawing>
      </w:r>
    </w:p>
    <w:p w14:paraId="41596140">
      <w:pPr>
        <w:pStyle w:val="3"/>
        <w:spacing w:line="360" w:lineRule="auto"/>
        <w:outlineLvl w:val="0"/>
        <w:rPr>
          <w:rFonts w:hint="eastAsia" w:ascii="黑体" w:hAnsi="黑体" w:eastAsia="黑体" w:cs="黑体"/>
          <w:bCs/>
        </w:rPr>
      </w:pPr>
      <w:bookmarkStart w:id="14" w:name="_Toc12644"/>
      <w:r>
        <w:rPr>
          <w:rFonts w:hint="eastAsia" w:ascii="黑体" w:hAnsi="黑体" w:eastAsia="黑体" w:cs="黑体"/>
          <w:bCs/>
        </w:rPr>
        <w:t>四、面临的挑战</w:t>
      </w:r>
      <w:bookmarkEnd w:id="14"/>
    </w:p>
    <w:p w14:paraId="1CF4B655">
      <w:pPr>
        <w:pStyle w:val="27"/>
        <w:spacing w:line="360" w:lineRule="auto"/>
        <w:ind w:firstLine="480"/>
        <w:rPr>
          <w:rFonts w:hint="eastAsia" w:ascii="仿宋" w:hAnsi="仿宋" w:eastAsia="仿宋" w:cs="仿宋"/>
        </w:rPr>
      </w:pPr>
      <w:r>
        <w:rPr>
          <w:rFonts w:hint="eastAsia" w:ascii="仿宋" w:hAnsi="仿宋" w:eastAsia="仿宋" w:cs="仿宋"/>
        </w:rPr>
        <w:t>尽管物联网与具身智能技术在城市治理中展现出巨大潜力，但距离规模化、体系化、可信化应用仍面临多重挑战。</w:t>
      </w:r>
    </w:p>
    <w:p w14:paraId="7303ABCC">
      <w:pPr>
        <w:pStyle w:val="27"/>
        <w:spacing w:line="360" w:lineRule="auto"/>
        <w:ind w:firstLine="480"/>
        <w:rPr>
          <w:rFonts w:hint="eastAsia" w:ascii="仿宋" w:hAnsi="仿宋" w:eastAsia="仿宋" w:cs="仿宋"/>
        </w:rPr>
      </w:pPr>
      <w:r>
        <w:rPr>
          <w:rFonts w:hint="eastAsia" w:ascii="仿宋" w:hAnsi="仿宋" w:eastAsia="仿宋" w:cs="仿宋"/>
          <w:b/>
          <w:bCs/>
        </w:rPr>
        <w:t>感知密度与成本的不平衡</w:t>
      </w:r>
      <w:r>
        <w:rPr>
          <w:rFonts w:hint="eastAsia" w:ascii="仿宋" w:hAnsi="仿宋" w:eastAsia="仿宋" w:cs="仿宋"/>
        </w:rPr>
        <w:t>：城市级物联网要达到有效感知密度，需部署百万至千万级传感器节点。当前传感器、供电、通信和运维的全生命周期成本仍然偏高，尤其是地下管廊、桥梁内部等施工维护困难的位置。低成本、长寿命、自供能的传感器技术是规模化的关键瓶颈。</w:t>
      </w:r>
    </w:p>
    <w:p w14:paraId="6EE2B7E7">
      <w:pPr>
        <w:pStyle w:val="27"/>
        <w:spacing w:line="360" w:lineRule="auto"/>
        <w:ind w:firstLine="480"/>
        <w:rPr>
          <w:rFonts w:hint="eastAsia" w:ascii="仿宋" w:hAnsi="仿宋" w:eastAsia="仿宋" w:cs="仿宋"/>
        </w:rPr>
      </w:pPr>
      <w:r>
        <w:rPr>
          <w:rFonts w:hint="eastAsia" w:ascii="仿宋" w:hAnsi="仿宋" w:eastAsia="仿宋" w:cs="仿宋"/>
          <w:b/>
          <w:bCs/>
        </w:rPr>
        <w:t>具身智能的可靠性与安全性</w:t>
      </w:r>
      <w:r>
        <w:rPr>
          <w:rFonts w:hint="eastAsia" w:ascii="仿宋" w:hAnsi="仿宋" w:eastAsia="仿宋" w:cs="仿宋"/>
        </w:rPr>
        <w:t>：具身智能系统在开放、动态、非结构化的城市环境中运行，仍面临感知失效、规划错误、操作失败等风险。机器人在公共场所运行更涉及物理安全（碰撞行人）、隐私保护（持续采集图像）、对抗鲁棒性（传感器欺骗可能误导导航）和伦理责任（事故归责）等深层问题，相应的技术标准、法规框架和责任认定机制尚不完善。</w:t>
      </w:r>
    </w:p>
    <w:p w14:paraId="0AB6106F">
      <w:pPr>
        <w:pStyle w:val="27"/>
        <w:spacing w:line="360" w:lineRule="auto"/>
        <w:ind w:firstLine="480"/>
        <w:rPr>
          <w:rFonts w:hint="eastAsia" w:ascii="仿宋" w:hAnsi="仿宋" w:eastAsia="仿宋" w:cs="仿宋"/>
        </w:rPr>
      </w:pPr>
      <w:r>
        <w:rPr>
          <w:rFonts w:hint="eastAsia" w:ascii="仿宋" w:hAnsi="仿宋" w:eastAsia="仿宋" w:cs="仿宋"/>
          <w:b/>
          <w:bCs/>
        </w:rPr>
        <w:t>系统互操作性与标准化</w:t>
      </w:r>
      <w:r>
        <w:rPr>
          <w:rFonts w:hint="eastAsia" w:ascii="仿宋" w:hAnsi="仿宋" w:eastAsia="仿宋" w:cs="仿宋"/>
        </w:rPr>
        <w:t>：城市治理涉及数十个部门和上百类系统，物联网设备和机器人来自不同厂商，采用不同协议和数据格式。缺乏统一的接口标准、数据交换规范和安全认证体系，导致系统集成成本高、数据共享困难。</w:t>
      </w:r>
    </w:p>
    <w:p w14:paraId="05A11B04">
      <w:pPr>
        <w:pStyle w:val="27"/>
        <w:spacing w:line="360" w:lineRule="auto"/>
        <w:ind w:firstLine="480"/>
        <w:rPr>
          <w:rFonts w:hint="eastAsia" w:ascii="仿宋" w:hAnsi="仿宋" w:eastAsia="仿宋" w:cs="仿宋"/>
        </w:rPr>
      </w:pPr>
      <w:r>
        <w:rPr>
          <w:rFonts w:hint="eastAsia" w:ascii="仿宋" w:hAnsi="仿宋" w:eastAsia="仿宋" w:cs="仿宋"/>
          <w:b/>
          <w:bCs/>
        </w:rPr>
        <w:t>时空安全风险</w:t>
      </w:r>
      <w:r>
        <w:rPr>
          <w:rFonts w:hint="eastAsia" w:ascii="仿宋" w:hAnsi="仿宋" w:eastAsia="仿宋" w:cs="仿宋"/>
        </w:rPr>
        <w:t>：城市治理对时空信息的高度依赖带来了新的安全脆弱性——卫星导航信号欺骗可能误导自动驾驶车辆和无人机；授时系统中断可能引发电网、通信网等关键基础设施的级联失效；关键设施坐标数据的泄露可能被恶意利用。更深层的问题在于，时空数据安全需覆盖“采集—传输—存储—使用—销毁”全链条：在采集端，大量部署于无人值守环境的感知终端面临设备替换、信号注入、固件篡改等物理安全威胁，硬件增强的安全框架通过在传感器端集成物理不可克隆函数（PUF）等可信根，为IoT终端提供芯片级的身份认证与数据源头保障</w:t>
      </w:r>
      <w:r>
        <w:rPr>
          <w:rFonts w:hint="eastAsia" w:ascii="仿宋" w:hAnsi="仿宋" w:eastAsia="仿宋" w:cs="仿宋"/>
          <w:vertAlign w:val="superscript"/>
        </w:rPr>
        <w:t>[10]</w:t>
      </w:r>
      <w:r>
        <w:rPr>
          <w:rFonts w:hint="eastAsia" w:ascii="仿宋" w:hAnsi="仿宋" w:eastAsia="仿宋" w:cs="仿宋"/>
        </w:rPr>
        <w:t>；在传输和使用端，定位数据、轨迹数据需进行链路加密与差分隐私脱敏处理。时空安全防护必须从系统设计阶段就内建，而非事后叠加。</w:t>
      </w:r>
    </w:p>
    <w:p w14:paraId="10960DC5">
      <w:pPr>
        <w:pStyle w:val="27"/>
        <w:spacing w:line="360" w:lineRule="auto"/>
        <w:ind w:firstLine="480"/>
        <w:rPr>
          <w:rFonts w:hint="eastAsia" w:ascii="仿宋" w:hAnsi="仿宋" w:eastAsia="仿宋" w:cs="仿宋"/>
          <w:bCs/>
        </w:rPr>
      </w:pPr>
      <w:r>
        <w:rPr>
          <w:rFonts w:hint="eastAsia" w:ascii="仿宋" w:hAnsi="仿宋" w:eastAsia="仿宋" w:cs="仿宋"/>
          <w:b/>
          <w:bCs/>
        </w:rPr>
        <w:t>能源与续航约束</w:t>
      </w:r>
      <w:r>
        <w:rPr>
          <w:rFonts w:hint="eastAsia" w:ascii="仿宋" w:hAnsi="仿宋" w:eastAsia="仿宋" w:cs="仿宋"/>
        </w:rPr>
        <w:t>：当前电动巡检机器人的有效工作时长通常为4—8小时，无人机续航普遍在30—60分钟，远不足以支撑全天候无人值守。高能量密度电池、无线充电和换电基础设施的完善，是具身智能终端走向常态化部署的前提。</w:t>
      </w:r>
    </w:p>
    <w:p w14:paraId="679B0393">
      <w:pPr>
        <w:pStyle w:val="3"/>
        <w:spacing w:line="360" w:lineRule="auto"/>
        <w:outlineLvl w:val="0"/>
        <w:rPr>
          <w:rFonts w:hint="eastAsia" w:ascii="黑体" w:hAnsi="黑体" w:eastAsia="黑体" w:cs="黑体"/>
          <w:bCs/>
        </w:rPr>
      </w:pPr>
      <w:bookmarkStart w:id="15" w:name="_Toc8962"/>
      <w:r>
        <w:rPr>
          <w:rFonts w:hint="eastAsia" w:ascii="黑体" w:hAnsi="黑体" w:eastAsia="黑体" w:cs="黑体"/>
          <w:bCs/>
        </w:rPr>
        <w:t>五、结语</w:t>
      </w:r>
      <w:bookmarkEnd w:id="15"/>
    </w:p>
    <w:p w14:paraId="40E50368">
      <w:pPr>
        <w:pStyle w:val="27"/>
        <w:spacing w:line="360" w:lineRule="auto"/>
        <w:ind w:firstLine="480"/>
        <w:rPr>
          <w:rFonts w:hint="eastAsia" w:ascii="仿宋" w:hAnsi="仿宋" w:eastAsia="仿宋" w:cs="仿宋"/>
        </w:rPr>
      </w:pPr>
      <w:r>
        <w:rPr>
          <w:rFonts w:hint="eastAsia" w:ascii="仿宋" w:hAnsi="仿宋" w:eastAsia="仿宋" w:cs="仿宋"/>
        </w:rPr>
        <w:t>物联网与具身智能技术的深度融合，正在将城市治理从“信息化时代”带入“具身智能化时代”。这不仅是技术手段的升级，更是治理范式的根本转变——城市不再只是被感知、被分析的对象，而是开始具备感知之后自主行动的能力。“万物互联”赋予城市神经系统，“具身智能”赋予城市运动系统，两者的结合正在催生一种全新的城市形态：它不仅“知道”发生了什么，还能“动手”去解决问题。</w:t>
      </w:r>
    </w:p>
    <w:p w14:paraId="2CC080ED">
      <w:pPr>
        <w:pStyle w:val="27"/>
        <w:spacing w:line="360" w:lineRule="auto"/>
        <w:ind w:firstLine="480"/>
        <w:rPr>
          <w:rFonts w:hint="eastAsia" w:ascii="仿宋" w:hAnsi="仿宋" w:eastAsia="仿宋" w:cs="仿宋"/>
        </w:rPr>
      </w:pPr>
      <w:r>
        <w:rPr>
          <w:rFonts w:hint="eastAsia" w:ascii="仿宋" w:hAnsi="仿宋" w:eastAsia="仿宋" w:cs="仿宋"/>
        </w:rPr>
        <w:t>展望未来，几条技术主线将交汇推动这一进程：视觉－语言－行动大模型使执行终端具备通用任务理解能力，从“一台机器一个用途”走向“通用平台+任务柔性定义”；异构多机器人协同从集中调度走向分布式自主，在灾害响应等复杂场景中实现效率倍增；数字孪生平台从“事件响应”升级为“风险预测”，在桥梁损伤、管网堵塞、人群聚集等风险形成前主动干预；时空安全防护从单点措施走向体系化建设，覆盖技术、制度、标准三个层面。这些趋势共同指向一个方向：城市治理将从“人在回路中”的信息系统，逐步走向“人机协同自治”的具身智能体系。</w:t>
      </w:r>
    </w:p>
    <w:p w14:paraId="701EDD42">
      <w:pPr>
        <w:pStyle w:val="27"/>
        <w:spacing w:line="360" w:lineRule="auto"/>
        <w:ind w:firstLine="480"/>
        <w:rPr>
          <w:rFonts w:hint="eastAsia" w:ascii="仿宋" w:hAnsi="仿宋" w:eastAsia="仿宋" w:cs="仿宋"/>
        </w:rPr>
      </w:pPr>
      <w:r>
        <w:rPr>
          <w:rFonts w:hint="eastAsia" w:ascii="仿宋" w:hAnsi="仿宋" w:eastAsia="仿宋" w:cs="仿宋"/>
        </w:rPr>
        <w:t>在这一进程中，时空基准与时空安全扮演着不可替代的基础性角色。精确的空间定位是具身智能终端自主导航的前提，统一的时间基准是跨系统协同控制的基础，安全可信的时空数据管理是城市治理决策的底线保障。面向未来，围绕“时空安全+物联网+具身智能”的交叉领域持续推动技术融合与工程落地，将为我国新型智慧城市建设和城市治理现代化提供核心支撑。</w:t>
      </w:r>
    </w:p>
    <w:p w14:paraId="6B1B3305">
      <w:pPr>
        <w:pStyle w:val="3"/>
        <w:spacing w:line="360" w:lineRule="auto"/>
        <w:outlineLvl w:val="0"/>
        <w:rPr>
          <w:rFonts w:hint="eastAsia" w:ascii="仿宋" w:hAnsi="仿宋" w:eastAsia="仿宋" w:cs="仿宋"/>
          <w:b/>
        </w:rPr>
      </w:pPr>
      <w:bookmarkStart w:id="16" w:name="_Toc11755"/>
      <w:r>
        <w:rPr>
          <w:rFonts w:hint="eastAsia" w:ascii="仿宋" w:hAnsi="仿宋" w:eastAsia="仿宋" w:cs="仿宋"/>
          <w:b/>
        </w:rPr>
        <w:t>参考文献</w:t>
      </w:r>
      <w:bookmarkEnd w:id="16"/>
    </w:p>
    <w:p w14:paraId="0D814560">
      <w:pPr>
        <w:pStyle w:val="3"/>
        <w:spacing w:line="360" w:lineRule="auto"/>
        <w:rPr>
          <w:rFonts w:hint="eastAsia" w:ascii="仿宋" w:hAnsi="仿宋" w:eastAsia="仿宋" w:cs="仿宋"/>
        </w:rPr>
      </w:pPr>
      <w:r>
        <w:rPr>
          <w:rFonts w:hint="eastAsia" w:ascii="仿宋" w:hAnsi="仿宋" w:eastAsia="仿宋" w:cs="仿宋"/>
        </w:rPr>
        <w:t>[1] United Nations, Department of Economic and Social Affairs, Population Division. “World Urbanization Prospects: The 2018 Revision.” New York, 2019.</w:t>
      </w:r>
    </w:p>
    <w:p w14:paraId="334F1F69">
      <w:pPr>
        <w:pStyle w:val="3"/>
        <w:spacing w:line="360" w:lineRule="auto"/>
        <w:rPr>
          <w:rFonts w:hint="eastAsia" w:ascii="仿宋" w:hAnsi="仿宋" w:eastAsia="仿宋" w:cs="仿宋"/>
        </w:rPr>
      </w:pPr>
      <w:r>
        <w:rPr>
          <w:rFonts w:hint="eastAsia" w:ascii="仿宋" w:hAnsi="仿宋" w:eastAsia="仿宋" w:cs="仿宋"/>
        </w:rPr>
        <w:t>[2] Z. Shan, Y. Xia, P. Hou, and J. He, “Fusing Incomplete Multisensor Heterogeneous Data to Estimate Urban Traffic,” IEEE MultiMedia, vol. 23, no. 3, pp. 56–63, 2016.</w:t>
      </w:r>
    </w:p>
    <w:p w14:paraId="7D74C713">
      <w:pPr>
        <w:pStyle w:val="3"/>
        <w:spacing w:line="360" w:lineRule="auto"/>
        <w:rPr>
          <w:rFonts w:hint="eastAsia" w:ascii="仿宋" w:hAnsi="仿宋" w:eastAsia="仿宋" w:cs="仿宋"/>
        </w:rPr>
      </w:pPr>
      <w:r>
        <w:rPr>
          <w:rFonts w:hint="eastAsia" w:ascii="仿宋" w:hAnsi="仿宋" w:eastAsia="仿宋" w:cs="仿宋"/>
        </w:rPr>
        <w:t>[3] A. Zanella, N. Bui, A. Castellani, L. Vangelista, and M. Zorzi, “Internet of Things for Smart Cities,” IEEE Internet of Things Journal, vol. 1, no. 1, pp. 22–32, 2014.</w:t>
      </w:r>
    </w:p>
    <w:p w14:paraId="04060C22">
      <w:pPr>
        <w:pStyle w:val="3"/>
        <w:spacing w:line="360" w:lineRule="auto"/>
        <w:rPr>
          <w:rFonts w:hint="eastAsia" w:ascii="仿宋" w:hAnsi="仿宋" w:eastAsia="仿宋" w:cs="仿宋"/>
        </w:rPr>
      </w:pPr>
      <w:r>
        <w:rPr>
          <w:rFonts w:hint="eastAsia" w:ascii="仿宋" w:hAnsi="仿宋" w:eastAsia="仿宋" w:cs="仿宋"/>
        </w:rPr>
        <w:t>[4] W. Shi, J. Cao, Q. Zhang, Y. Li, and L. Xu, “Edge Computing: Vision and Challenges,” IEEE Internet of Things Journal, vol. 3, no. 5, pp. 637–646, 2016.</w:t>
      </w:r>
    </w:p>
    <w:p w14:paraId="770C1AF0">
      <w:pPr>
        <w:pStyle w:val="3"/>
        <w:spacing w:line="360" w:lineRule="auto"/>
        <w:rPr>
          <w:rFonts w:hint="eastAsia" w:ascii="仿宋" w:hAnsi="仿宋" w:eastAsia="仿宋" w:cs="仿宋"/>
        </w:rPr>
      </w:pPr>
      <w:r>
        <w:rPr>
          <w:rFonts w:hint="eastAsia" w:ascii="仿宋" w:hAnsi="仿宋" w:eastAsia="仿宋" w:cs="仿宋"/>
        </w:rPr>
        <w:t>[5] Y. Gao, Y. Xia, X. Liu, O. Ma, S. Jin, and J. N. Liu, “Structure-Aware Local Differential Privacy for Multimodal Collaborative Inference in Federated Learning Systems,” IEEE Transactions on Dependable and Secure Computing, 2026.</w:t>
      </w:r>
    </w:p>
    <w:p w14:paraId="267257EF">
      <w:pPr>
        <w:pStyle w:val="3"/>
        <w:spacing w:line="360" w:lineRule="auto"/>
        <w:rPr>
          <w:rFonts w:hint="eastAsia" w:ascii="仿宋" w:hAnsi="仿宋" w:eastAsia="仿宋" w:cs="仿宋"/>
        </w:rPr>
      </w:pPr>
      <w:r>
        <w:rPr>
          <w:rFonts w:hint="eastAsia" w:ascii="仿宋" w:hAnsi="仿宋" w:eastAsia="仿宋" w:cs="仿宋"/>
        </w:rPr>
        <w:t>[6] M. Grieves and J. Vickers, “Digital Twin: Mitigating Unpredictable, Undesirable Emergent Behavior in Complex Systems,” in Transdisciplinary Perspectives on Complex Systems, Springer, 2017, pp. 85–113.</w:t>
      </w:r>
    </w:p>
    <w:p w14:paraId="0BA43149">
      <w:pPr>
        <w:pStyle w:val="3"/>
        <w:spacing w:line="360" w:lineRule="auto"/>
        <w:rPr>
          <w:rFonts w:hint="eastAsia" w:ascii="仿宋" w:hAnsi="仿宋" w:eastAsia="仿宋" w:cs="仿宋"/>
        </w:rPr>
      </w:pPr>
      <w:r>
        <w:rPr>
          <w:rFonts w:hint="eastAsia" w:ascii="仿宋" w:hAnsi="仿宋" w:eastAsia="仿宋" w:cs="仿宋"/>
        </w:rPr>
        <w:t>[7] Y. Xia, Y. Chen, Y. Zhao, L. Kuang, X. Liu, J. Hu, and Z. Liu, “FCLLM-DT: Enpowering Federated Continual Learning with Large Language Models for Digital-Twin-Based Industrial IoT,” IEEE Internet of Things Journal, vol. 12, no. 6, pp. 6070–6081, 2024.</w:t>
      </w:r>
    </w:p>
    <w:p w14:paraId="35037F9B">
      <w:pPr>
        <w:pStyle w:val="3"/>
        <w:spacing w:line="360" w:lineRule="auto"/>
        <w:rPr>
          <w:rFonts w:hint="eastAsia" w:ascii="仿宋" w:hAnsi="仿宋" w:eastAsia="仿宋" w:cs="仿宋"/>
        </w:rPr>
      </w:pPr>
      <w:r>
        <w:rPr>
          <w:rFonts w:hint="eastAsia" w:ascii="仿宋" w:hAnsi="仿宋" w:eastAsia="仿宋" w:cs="仿宋"/>
        </w:rPr>
        <w:t>[8] 中国信息通信研究院，《数字孪生城市白皮书（2023年）》，2023年12月。</w:t>
      </w:r>
    </w:p>
    <w:p w14:paraId="62433F17">
      <w:pPr>
        <w:pStyle w:val="3"/>
        <w:spacing w:line="360" w:lineRule="auto"/>
        <w:rPr>
          <w:rFonts w:hint="eastAsia" w:ascii="仿宋" w:hAnsi="仿宋" w:eastAsia="仿宋" w:cs="仿宋"/>
        </w:rPr>
      </w:pPr>
      <w:r>
        <w:rPr>
          <w:rFonts w:hint="eastAsia" w:ascii="仿宋" w:hAnsi="仿宋" w:eastAsia="仿宋" w:cs="仿宋"/>
        </w:rPr>
        <w:t>[9] A. Brohan et al., “RT-2: Vision-Language-Action Models Transfer Web Knowledge to Robotic Control,” arXiv preprint arXiv:2307.15818, 2023.</w:t>
      </w:r>
    </w:p>
    <w:p w14:paraId="48D830C5">
      <w:pPr>
        <w:pStyle w:val="3"/>
        <w:spacing w:line="360" w:lineRule="auto"/>
        <w:rPr>
          <w:rFonts w:hint="eastAsia" w:ascii="仿宋" w:hAnsi="仿宋" w:eastAsia="仿宋" w:cs="仿宋"/>
        </w:rPr>
      </w:pPr>
      <w:r>
        <w:rPr>
          <w:rFonts w:hint="eastAsia" w:ascii="仿宋" w:hAnsi="仿宋" w:eastAsia="仿宋" w:cs="仿宋"/>
        </w:rPr>
        <w:t>[10] Y. Xia, Y. Zhou, J. N. Liu, X. Liu, J. Chen, F. Xiao, and H. Zhu, “Hardware-enhanced Data Security for Internet of Things,” Fundamental Research, 2025.</w:t>
      </w:r>
      <w:bookmarkEnd w:id="0"/>
    </w:p>
    <w:p w14:paraId="28D3C01F">
      <w:pPr>
        <w:ind w:firstLine="565" w:firstLineChars="202"/>
        <w:rPr>
          <w:rFonts w:hint="eastAsia" w:ascii="仿宋" w:hAnsi="仿宋" w:eastAsia="仿宋"/>
          <w:kern w:val="2"/>
          <w:sz w:val="28"/>
          <w:szCs w:val="28"/>
        </w:rPr>
      </w:pPr>
      <w:r>
        <w:rPr>
          <w:rFonts w:hint="eastAsia" w:ascii="仿宋" w:hAnsi="仿宋" w:eastAsia="仿宋"/>
          <w:kern w:val="2"/>
          <w:sz w:val="28"/>
          <w:szCs w:val="28"/>
        </w:rPr>
        <w:t>欢迎加入中国指挥与控制学会社会治理与城市大脑专业委员会！专委会由来自领域用户单位、高等院校、科研院所及高新技术企业的资深专家和技术人员组成。</w:t>
      </w:r>
    </w:p>
    <w:p w14:paraId="5E7E34D6">
      <w:pPr>
        <w:ind w:firstLine="565" w:firstLineChars="202"/>
        <w:rPr>
          <w:rFonts w:hint="eastAsia" w:ascii="仿宋" w:hAnsi="仿宋" w:eastAsia="仿宋"/>
          <w:kern w:val="2"/>
          <w:sz w:val="28"/>
          <w:szCs w:val="28"/>
        </w:rPr>
      </w:pPr>
      <w:r>
        <w:rPr>
          <w:rFonts w:hint="eastAsia" w:ascii="仿宋" w:hAnsi="仿宋" w:eastAsia="仿宋"/>
          <w:kern w:val="2"/>
          <w:sz w:val="28"/>
          <w:szCs w:val="28"/>
        </w:rPr>
        <w:t>加入方式：</w:t>
      </w:r>
    </w:p>
    <w:p w14:paraId="2ABDCBD6">
      <w:pPr>
        <w:ind w:firstLine="565" w:firstLineChars="202"/>
        <w:rPr>
          <w:rFonts w:hint="eastAsia" w:ascii="仿宋" w:hAnsi="仿宋" w:eastAsia="仿宋"/>
          <w:kern w:val="2"/>
          <w:sz w:val="28"/>
          <w:szCs w:val="28"/>
        </w:rPr>
      </w:pPr>
      <w:r>
        <w:rPr>
          <w:rFonts w:hint="eastAsia" w:ascii="仿宋" w:hAnsi="仿宋" w:eastAsia="仿宋"/>
          <w:kern w:val="2"/>
          <w:sz w:val="28"/>
          <w:szCs w:val="28"/>
        </w:rPr>
        <w:t>第一步：访问中国指挥与控制学会网址注册会员并缴费；（复制该链接：https://cicc.kejie.org.cn/member/login.php，从浏览器或微信打开填写）；</w:t>
      </w:r>
    </w:p>
    <w:p w14:paraId="4E419F44">
      <w:pPr>
        <w:ind w:firstLine="565" w:firstLineChars="202"/>
        <w:rPr>
          <w:rFonts w:hint="eastAsia" w:ascii="仿宋" w:hAnsi="仿宋" w:eastAsia="仿宋"/>
          <w:kern w:val="2"/>
          <w:sz w:val="28"/>
          <w:szCs w:val="28"/>
        </w:rPr>
      </w:pPr>
      <w:r>
        <w:rPr>
          <w:rFonts w:hint="eastAsia" w:ascii="仿宋" w:hAnsi="仿宋" w:eastAsia="仿宋"/>
          <w:kern w:val="2"/>
          <w:sz w:val="28"/>
          <w:szCs w:val="28"/>
        </w:rPr>
        <w:t>第二步：复制该链接：https://www.wjx.top/vm/Pp1Efbi.aspx# ，在线填写分支机构委员信息统计表；</w:t>
      </w:r>
    </w:p>
    <w:p w14:paraId="4687DB54">
      <w:pPr>
        <w:ind w:firstLine="565" w:firstLineChars="202"/>
        <w:rPr>
          <w:rFonts w:hint="eastAsia" w:ascii="仿宋" w:hAnsi="仿宋" w:eastAsia="仿宋"/>
          <w:kern w:val="2"/>
          <w:sz w:val="28"/>
          <w:szCs w:val="28"/>
          <w:lang w:val="en-US" w:eastAsia="zh-CN"/>
        </w:rPr>
      </w:pPr>
      <w:r>
        <w:rPr>
          <w:rFonts w:hint="eastAsia" w:ascii="仿宋" w:hAnsi="仿宋" w:eastAsia="仿宋"/>
          <w:kern w:val="2"/>
          <w:sz w:val="28"/>
          <w:szCs w:val="28"/>
        </w:rPr>
        <w:t>第三步：下载并填写分支机构委员申请表，发送到指定邮箱（ciccwy@c2.org.cn）；</w:t>
      </w:r>
      <w:r>
        <w:rPr>
          <w:rFonts w:hint="eastAsia" w:ascii="仿宋" w:hAnsi="仿宋" w:eastAsia="仿宋"/>
          <w:kern w:val="2"/>
          <w:sz w:val="28"/>
          <w:szCs w:val="28"/>
        </w:rPr>
        <w:br w:type="textWrapping"/>
      </w:r>
    </w:p>
    <w:p w14:paraId="64F6075F">
      <w:pPr>
        <w:pStyle w:val="3"/>
        <w:spacing w:line="360" w:lineRule="auto"/>
        <w:rPr>
          <w:rFonts w:hint="eastAsia" w:ascii="仿宋" w:hAnsi="仿宋" w:eastAsia="仿宋" w:cs="仿宋"/>
        </w:rPr>
      </w:pPr>
    </w:p>
    <w:p w14:paraId="4D85A9E4">
      <w:pPr>
        <w:pStyle w:val="3"/>
        <w:spacing w:line="360" w:lineRule="auto"/>
        <w:rPr>
          <w:rFonts w:hint="eastAsia" w:ascii="仿宋" w:hAnsi="仿宋" w:eastAsia="仿宋" w:cs="仿宋"/>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A2B"/>
    <w:rsid w:val="00072ACE"/>
    <w:rsid w:val="0018754F"/>
    <w:rsid w:val="00275D54"/>
    <w:rsid w:val="002D670C"/>
    <w:rsid w:val="00340A2B"/>
    <w:rsid w:val="0035036D"/>
    <w:rsid w:val="003D491A"/>
    <w:rsid w:val="00462D2A"/>
    <w:rsid w:val="00673423"/>
    <w:rsid w:val="00691EAC"/>
    <w:rsid w:val="006D1C80"/>
    <w:rsid w:val="006D4DC7"/>
    <w:rsid w:val="007F7BAB"/>
    <w:rsid w:val="00873A58"/>
    <w:rsid w:val="00887FA4"/>
    <w:rsid w:val="009A09CA"/>
    <w:rsid w:val="00AE4B96"/>
    <w:rsid w:val="00F0523B"/>
    <w:rsid w:val="00F72C68"/>
    <w:rsid w:val="034F748D"/>
    <w:rsid w:val="03F7074D"/>
    <w:rsid w:val="06001DE3"/>
    <w:rsid w:val="085D0CDE"/>
    <w:rsid w:val="0A2D217F"/>
    <w:rsid w:val="0C9B6BDE"/>
    <w:rsid w:val="0D9C5DC5"/>
    <w:rsid w:val="103A58B2"/>
    <w:rsid w:val="12640AAF"/>
    <w:rsid w:val="14FE36CB"/>
    <w:rsid w:val="1536162A"/>
    <w:rsid w:val="175806E8"/>
    <w:rsid w:val="178105D0"/>
    <w:rsid w:val="19CB1851"/>
    <w:rsid w:val="1BA94905"/>
    <w:rsid w:val="1D351A86"/>
    <w:rsid w:val="1D5A6C1C"/>
    <w:rsid w:val="214611D6"/>
    <w:rsid w:val="218E2416"/>
    <w:rsid w:val="23FB475F"/>
    <w:rsid w:val="24032000"/>
    <w:rsid w:val="242345C5"/>
    <w:rsid w:val="24EF3B8A"/>
    <w:rsid w:val="257552AB"/>
    <w:rsid w:val="25DA4676"/>
    <w:rsid w:val="2A1B583C"/>
    <w:rsid w:val="2D265BF9"/>
    <w:rsid w:val="2E984FF9"/>
    <w:rsid w:val="37E776C2"/>
    <w:rsid w:val="39DC39B1"/>
    <w:rsid w:val="39EE4D52"/>
    <w:rsid w:val="3B9D352A"/>
    <w:rsid w:val="3E574C3A"/>
    <w:rsid w:val="3F812058"/>
    <w:rsid w:val="42E62A8D"/>
    <w:rsid w:val="451C203B"/>
    <w:rsid w:val="481925EE"/>
    <w:rsid w:val="48D507A7"/>
    <w:rsid w:val="4ABF34BD"/>
    <w:rsid w:val="4B32104F"/>
    <w:rsid w:val="4CA74208"/>
    <w:rsid w:val="502A587C"/>
    <w:rsid w:val="578B3D5B"/>
    <w:rsid w:val="58E6255C"/>
    <w:rsid w:val="59E04B35"/>
    <w:rsid w:val="5B144B88"/>
    <w:rsid w:val="5B4952CD"/>
    <w:rsid w:val="5E4C10B3"/>
    <w:rsid w:val="62286805"/>
    <w:rsid w:val="64037304"/>
    <w:rsid w:val="6C8A0A72"/>
    <w:rsid w:val="6D2175E6"/>
    <w:rsid w:val="6E753D0F"/>
    <w:rsid w:val="72BA07AC"/>
    <w:rsid w:val="75EB2B08"/>
    <w:rsid w:val="7A3A1A31"/>
    <w:rsid w:val="7EC5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5"/>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9"/>
    <w:qFormat/>
    <w:uiPriority w:val="10"/>
    <w:pPr>
      <w:spacing w:after="80"/>
      <w:contextualSpacing/>
      <w:jc w:val="center"/>
    </w:pPr>
    <w:rPr>
      <w:rFonts w:asciiTheme="majorHAnsi" w:hAnsiTheme="majorHAnsi" w:eastAsiaTheme="majorEastAsia" w:cstheme="majorBidi"/>
      <w:sz w:val="56"/>
      <w:szCs w:val="56"/>
    </w:rPr>
  </w:style>
  <w:style w:type="paragraph" w:styleId="16">
    <w:name w:val="footer"/>
    <w:basedOn w:val="1"/>
    <w:link w:val="88"/>
    <w:qFormat/>
    <w:uiPriority w:val="0"/>
    <w:pPr>
      <w:tabs>
        <w:tab w:val="center" w:pos="4153"/>
        <w:tab w:val="right" w:pos="8306"/>
      </w:tabs>
      <w:snapToGrid w:val="0"/>
    </w:pPr>
    <w:rPr>
      <w:sz w:val="18"/>
      <w:szCs w:val="18"/>
    </w:rPr>
  </w:style>
  <w:style w:type="paragraph" w:styleId="17">
    <w:name w:val="header"/>
    <w:basedOn w:val="1"/>
    <w:link w:val="87"/>
    <w:qFormat/>
    <w:uiPriority w:val="0"/>
    <w:pPr>
      <w:tabs>
        <w:tab w:val="center" w:pos="4153"/>
        <w:tab w:val="right" w:pos="8306"/>
      </w:tabs>
      <w:snapToGrid w:val="0"/>
      <w:jc w:val="center"/>
    </w:pPr>
    <w:rPr>
      <w:sz w:val="18"/>
      <w:szCs w:val="18"/>
    </w:rPr>
  </w:style>
  <w:style w:type="paragraph" w:styleId="18">
    <w:name w:val="toc 1"/>
    <w:basedOn w:val="1"/>
    <w:next w:val="1"/>
    <w:qFormat/>
    <w:uiPriority w:val="0"/>
  </w:style>
  <w:style w:type="paragraph" w:styleId="19">
    <w:name w:val="Subtitle"/>
    <w:basedOn w:val="15"/>
    <w:next w:val="3"/>
    <w:link w:val="30"/>
    <w:qFormat/>
    <w:uiPriority w:val="11"/>
    <w:rPr>
      <w:spacing w:val="15"/>
      <w:sz w:val="28"/>
      <w:szCs w:val="28"/>
    </w:rPr>
  </w:style>
  <w:style w:type="paragraph" w:styleId="20">
    <w:name w:val="footnote text"/>
    <w:basedOn w:val="1"/>
    <w:unhideWhenUsed/>
    <w:qFormat/>
    <w:uiPriority w:val="9"/>
  </w:style>
  <w:style w:type="paragraph" w:styleId="21">
    <w:name w:val="toc 2"/>
    <w:basedOn w:val="1"/>
    <w:next w:val="1"/>
    <w:qFormat/>
    <w:uiPriority w:val="0"/>
    <w:pPr>
      <w:ind w:left="420" w:leftChars="200"/>
    </w:pPr>
  </w:style>
  <w:style w:type="character" w:styleId="24">
    <w:name w:val="Hyperlink"/>
    <w:basedOn w:val="25"/>
    <w:qFormat/>
    <w:uiPriority w:val="0"/>
    <w:rPr>
      <w:color w:val="156082" w:themeColor="accent1"/>
      <w14:textFill>
        <w14:solidFill>
          <w14:schemeClr w14:val="accent1"/>
        </w14:solidFill>
      </w14:textFill>
    </w:rPr>
  </w:style>
  <w:style w:type="character" w:customStyle="1" w:styleId="25">
    <w:name w:val="题注 字符"/>
    <w:basedOn w:val="23"/>
    <w:link w:val="12"/>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标题 字符"/>
    <w:basedOn w:val="23"/>
    <w:link w:val="15"/>
    <w:qFormat/>
    <w:uiPriority w:val="10"/>
    <w:rPr>
      <w:rFonts w:asciiTheme="majorHAnsi" w:hAnsiTheme="majorHAnsi" w:eastAsiaTheme="majorEastAsia" w:cstheme="majorBidi"/>
      <w:sz w:val="56"/>
      <w:szCs w:val="56"/>
    </w:rPr>
  </w:style>
  <w:style w:type="character" w:customStyle="1" w:styleId="30">
    <w:name w:val="副标题 字符"/>
    <w:basedOn w:val="23"/>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basedOn w:val="15"/>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character" w:customStyle="1" w:styleId="35">
    <w:name w:val="标题 1 字符"/>
    <w:basedOn w:val="23"/>
    <w:link w:val="2"/>
    <w:qFormat/>
    <w:uiPriority w:val="9"/>
    <w:rPr>
      <w:rFonts w:asciiTheme="majorHAnsi" w:hAnsiTheme="majorHAnsi" w:eastAsiaTheme="majorEastAsia" w:cstheme="majorBidi"/>
      <w:color w:val="104862" w:themeColor="accent1" w:themeShade="BF"/>
      <w:sz w:val="40"/>
      <w:szCs w:val="40"/>
    </w:rPr>
  </w:style>
  <w:style w:type="character" w:customStyle="1" w:styleId="36">
    <w:name w:val="标题 2 字符"/>
    <w:basedOn w:val="23"/>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7">
    <w:name w:val="标题 3 字符"/>
    <w:basedOn w:val="23"/>
    <w:link w:val="5"/>
    <w:semiHidden/>
    <w:qFormat/>
    <w:uiPriority w:val="9"/>
    <w:rPr>
      <w:rFonts w:eastAsiaTheme="majorEastAsia" w:cstheme="majorBidi"/>
      <w:color w:val="104862" w:themeColor="accent1" w:themeShade="BF"/>
      <w:sz w:val="28"/>
      <w:szCs w:val="28"/>
    </w:rPr>
  </w:style>
  <w:style w:type="character" w:customStyle="1" w:styleId="38">
    <w:name w:val="标题 4 字符"/>
    <w:basedOn w:val="23"/>
    <w:link w:val="6"/>
    <w:semiHidden/>
    <w:qFormat/>
    <w:uiPriority w:val="9"/>
    <w:rPr>
      <w:rFonts w:eastAsiaTheme="majorEastAsia" w:cstheme="majorBidi"/>
      <w:i/>
      <w:iCs/>
      <w:color w:val="104862" w:themeColor="accent1" w:themeShade="BF"/>
    </w:rPr>
  </w:style>
  <w:style w:type="character" w:customStyle="1" w:styleId="39">
    <w:name w:val="标题 5 字符"/>
    <w:basedOn w:val="23"/>
    <w:link w:val="7"/>
    <w:semiHidden/>
    <w:qFormat/>
    <w:uiPriority w:val="9"/>
    <w:rPr>
      <w:rFonts w:eastAsiaTheme="majorEastAsia" w:cstheme="majorBidi"/>
      <w:color w:val="104862" w:themeColor="accent1" w:themeShade="BF"/>
    </w:rPr>
  </w:style>
  <w:style w:type="character" w:customStyle="1" w:styleId="40">
    <w:name w:val="标题 6 字符"/>
    <w:basedOn w:val="23"/>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标题 7 字符"/>
    <w:basedOn w:val="23"/>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8 字符"/>
    <w:basedOn w:val="23"/>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标题 9 字符"/>
    <w:basedOn w:val="23"/>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20"/>
    <w:next w:val="20"/>
    <w:unhideWhenUsed/>
    <w:qFormat/>
    <w:uiPriority w:val="9"/>
    <w:pPr>
      <w:spacing w:before="100" w:after="100"/>
      <w:ind w:left="480" w:right="48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5"/>
    <w:qFormat/>
    <w:uiPriority w:val="0"/>
  </w:style>
  <w:style w:type="paragraph" w:customStyle="1" w:styleId="55">
    <w:name w:val="TOC 标题1"/>
    <w:basedOn w:val="2"/>
    <w:next w:val="3"/>
    <w:unhideWhenUsed/>
    <w:qFormat/>
    <w:uiPriority w:val="39"/>
    <w:pPr>
      <w:spacing w:before="240" w:line="259" w:lineRule="auto"/>
      <w:outlineLvl w:val="9"/>
    </w:pPr>
  </w:style>
  <w:style w:type="character" w:customStyle="1" w:styleId="56">
    <w:name w:val="KeywordTok"/>
    <w:basedOn w:val="52"/>
    <w:qFormat/>
    <w:uiPriority w:val="0"/>
    <w:rPr>
      <w:rFonts w:ascii="Consolas" w:hAnsi="Consolas"/>
      <w:b/>
      <w:color w:val="007020"/>
      <w:sz w:val="22"/>
    </w:rPr>
  </w:style>
  <w:style w:type="character" w:customStyle="1" w:styleId="57">
    <w:name w:val="DataTypeTok"/>
    <w:basedOn w:val="52"/>
    <w:qFormat/>
    <w:uiPriority w:val="0"/>
    <w:rPr>
      <w:rFonts w:ascii="Consolas" w:hAnsi="Consolas"/>
      <w:color w:val="902000"/>
      <w:sz w:val="22"/>
    </w:rPr>
  </w:style>
  <w:style w:type="character" w:customStyle="1" w:styleId="58">
    <w:name w:val="DecValTok"/>
    <w:basedOn w:val="52"/>
    <w:qFormat/>
    <w:uiPriority w:val="0"/>
    <w:rPr>
      <w:rFonts w:ascii="Consolas" w:hAnsi="Consolas"/>
      <w:color w:val="40A070"/>
      <w:sz w:val="22"/>
    </w:rPr>
  </w:style>
  <w:style w:type="character" w:customStyle="1" w:styleId="59">
    <w:name w:val="BaseNTok"/>
    <w:basedOn w:val="52"/>
    <w:qFormat/>
    <w:uiPriority w:val="0"/>
    <w:rPr>
      <w:rFonts w:ascii="Consolas" w:hAnsi="Consolas"/>
      <w:color w:val="40A070"/>
      <w:sz w:val="22"/>
    </w:rPr>
  </w:style>
  <w:style w:type="character" w:customStyle="1" w:styleId="60">
    <w:name w:val="FloatTok"/>
    <w:basedOn w:val="52"/>
    <w:qFormat/>
    <w:uiPriority w:val="0"/>
    <w:rPr>
      <w:rFonts w:ascii="Consolas" w:hAnsi="Consolas"/>
      <w:color w:val="40A070"/>
      <w:sz w:val="22"/>
    </w:rPr>
  </w:style>
  <w:style w:type="character" w:customStyle="1" w:styleId="61">
    <w:name w:val="ConstantTok"/>
    <w:basedOn w:val="52"/>
    <w:qFormat/>
    <w:uiPriority w:val="0"/>
    <w:rPr>
      <w:rFonts w:ascii="Consolas" w:hAnsi="Consolas"/>
      <w:color w:val="880000"/>
      <w:sz w:val="22"/>
    </w:rPr>
  </w:style>
  <w:style w:type="character" w:customStyle="1" w:styleId="62">
    <w:name w:val="CharTok"/>
    <w:basedOn w:val="52"/>
    <w:qFormat/>
    <w:uiPriority w:val="0"/>
    <w:rPr>
      <w:rFonts w:ascii="Consolas" w:hAnsi="Consolas"/>
      <w:color w:val="4070A0"/>
      <w:sz w:val="22"/>
    </w:rPr>
  </w:style>
  <w:style w:type="character" w:customStyle="1" w:styleId="63">
    <w:name w:val="SpecialCharTok"/>
    <w:basedOn w:val="52"/>
    <w:qFormat/>
    <w:uiPriority w:val="0"/>
    <w:rPr>
      <w:rFonts w:ascii="Consolas" w:hAnsi="Consolas"/>
      <w:color w:val="4070A0"/>
      <w:sz w:val="22"/>
    </w:rPr>
  </w:style>
  <w:style w:type="character" w:customStyle="1" w:styleId="64">
    <w:name w:val="StringTok"/>
    <w:basedOn w:val="52"/>
    <w:qFormat/>
    <w:uiPriority w:val="0"/>
    <w:rPr>
      <w:rFonts w:ascii="Consolas" w:hAnsi="Consolas"/>
      <w:color w:val="4070A0"/>
      <w:sz w:val="22"/>
    </w:rPr>
  </w:style>
  <w:style w:type="character" w:customStyle="1" w:styleId="65">
    <w:name w:val="VerbatimStringTok"/>
    <w:basedOn w:val="52"/>
    <w:qFormat/>
    <w:uiPriority w:val="0"/>
    <w:rPr>
      <w:rFonts w:ascii="Consolas" w:hAnsi="Consolas"/>
      <w:color w:val="4070A0"/>
      <w:sz w:val="22"/>
    </w:rPr>
  </w:style>
  <w:style w:type="character" w:customStyle="1" w:styleId="66">
    <w:name w:val="SpecialStringTok"/>
    <w:basedOn w:val="52"/>
    <w:qFormat/>
    <w:uiPriority w:val="0"/>
    <w:rPr>
      <w:rFonts w:ascii="Consolas" w:hAnsi="Consolas"/>
      <w:color w:val="BB6688"/>
      <w:sz w:val="22"/>
    </w:rPr>
  </w:style>
  <w:style w:type="character" w:customStyle="1" w:styleId="67">
    <w:name w:val="ImportTok"/>
    <w:basedOn w:val="52"/>
    <w:qFormat/>
    <w:uiPriority w:val="0"/>
    <w:rPr>
      <w:rFonts w:ascii="Consolas" w:hAnsi="Consolas"/>
      <w:b/>
      <w:color w:val="008000"/>
      <w:sz w:val="22"/>
    </w:rPr>
  </w:style>
  <w:style w:type="character" w:customStyle="1" w:styleId="68">
    <w:name w:val="CommentTok"/>
    <w:basedOn w:val="52"/>
    <w:qFormat/>
    <w:uiPriority w:val="0"/>
    <w:rPr>
      <w:rFonts w:ascii="Consolas" w:hAnsi="Consolas"/>
      <w:i/>
      <w:color w:val="60A0B0"/>
      <w:sz w:val="22"/>
    </w:rPr>
  </w:style>
  <w:style w:type="character" w:customStyle="1" w:styleId="69">
    <w:name w:val="DocumentationTok"/>
    <w:basedOn w:val="52"/>
    <w:qFormat/>
    <w:uiPriority w:val="0"/>
    <w:rPr>
      <w:rFonts w:ascii="Consolas" w:hAnsi="Consolas"/>
      <w:i/>
      <w:color w:val="BA2121"/>
      <w:sz w:val="22"/>
    </w:rPr>
  </w:style>
  <w:style w:type="character" w:customStyle="1" w:styleId="70">
    <w:name w:val="AnnotationTok"/>
    <w:basedOn w:val="52"/>
    <w:qFormat/>
    <w:uiPriority w:val="0"/>
    <w:rPr>
      <w:rFonts w:ascii="Consolas" w:hAnsi="Consolas"/>
      <w:b/>
      <w:i/>
      <w:color w:val="60A0B0"/>
      <w:sz w:val="22"/>
    </w:rPr>
  </w:style>
  <w:style w:type="character" w:customStyle="1" w:styleId="71">
    <w:name w:val="CommentVarTok"/>
    <w:basedOn w:val="52"/>
    <w:qFormat/>
    <w:uiPriority w:val="0"/>
    <w:rPr>
      <w:rFonts w:ascii="Consolas" w:hAnsi="Consolas"/>
      <w:b/>
      <w:i/>
      <w:color w:val="60A0B0"/>
      <w:sz w:val="22"/>
    </w:rPr>
  </w:style>
  <w:style w:type="character" w:customStyle="1" w:styleId="72">
    <w:name w:val="OtherTok"/>
    <w:basedOn w:val="52"/>
    <w:qFormat/>
    <w:uiPriority w:val="0"/>
    <w:rPr>
      <w:rFonts w:ascii="Consolas" w:hAnsi="Consolas"/>
      <w:color w:val="007020"/>
      <w:sz w:val="22"/>
    </w:rPr>
  </w:style>
  <w:style w:type="character" w:customStyle="1" w:styleId="73">
    <w:name w:val="FunctionTok"/>
    <w:basedOn w:val="52"/>
    <w:qFormat/>
    <w:uiPriority w:val="0"/>
    <w:rPr>
      <w:rFonts w:ascii="Consolas" w:hAnsi="Consolas"/>
      <w:color w:val="06287E"/>
      <w:sz w:val="22"/>
    </w:rPr>
  </w:style>
  <w:style w:type="character" w:customStyle="1" w:styleId="74">
    <w:name w:val="VariableTok"/>
    <w:basedOn w:val="52"/>
    <w:qFormat/>
    <w:uiPriority w:val="0"/>
    <w:rPr>
      <w:rFonts w:ascii="Consolas" w:hAnsi="Consolas"/>
      <w:color w:val="19177C"/>
      <w:sz w:val="22"/>
    </w:rPr>
  </w:style>
  <w:style w:type="character" w:customStyle="1" w:styleId="75">
    <w:name w:val="ControlFlowTok"/>
    <w:basedOn w:val="52"/>
    <w:qFormat/>
    <w:uiPriority w:val="0"/>
    <w:rPr>
      <w:rFonts w:ascii="Consolas" w:hAnsi="Consolas"/>
      <w:b/>
      <w:color w:val="007020"/>
      <w:sz w:val="22"/>
    </w:rPr>
  </w:style>
  <w:style w:type="character" w:customStyle="1" w:styleId="76">
    <w:name w:val="OperatorTok"/>
    <w:basedOn w:val="52"/>
    <w:qFormat/>
    <w:uiPriority w:val="0"/>
    <w:rPr>
      <w:rFonts w:ascii="Consolas" w:hAnsi="Consolas"/>
      <w:color w:val="666666"/>
      <w:sz w:val="22"/>
    </w:rPr>
  </w:style>
  <w:style w:type="character" w:customStyle="1" w:styleId="77">
    <w:name w:val="BuiltInTok"/>
    <w:basedOn w:val="52"/>
    <w:qFormat/>
    <w:uiPriority w:val="0"/>
    <w:rPr>
      <w:rFonts w:ascii="Consolas" w:hAnsi="Consolas"/>
      <w:color w:val="008000"/>
      <w:sz w:val="22"/>
    </w:rPr>
  </w:style>
  <w:style w:type="character" w:customStyle="1" w:styleId="78">
    <w:name w:val="ExtensionTok"/>
    <w:basedOn w:val="52"/>
    <w:qFormat/>
    <w:uiPriority w:val="0"/>
    <w:rPr>
      <w:rFonts w:ascii="Consolas" w:hAnsi="Consolas"/>
      <w:sz w:val="22"/>
    </w:rPr>
  </w:style>
  <w:style w:type="character" w:customStyle="1" w:styleId="79">
    <w:name w:val="PreprocessorTok"/>
    <w:basedOn w:val="52"/>
    <w:qFormat/>
    <w:uiPriority w:val="0"/>
    <w:rPr>
      <w:rFonts w:ascii="Consolas" w:hAnsi="Consolas"/>
      <w:color w:val="BC7A00"/>
      <w:sz w:val="22"/>
    </w:rPr>
  </w:style>
  <w:style w:type="character" w:customStyle="1" w:styleId="80">
    <w:name w:val="AttributeTok"/>
    <w:basedOn w:val="52"/>
    <w:qFormat/>
    <w:uiPriority w:val="0"/>
    <w:rPr>
      <w:rFonts w:ascii="Consolas" w:hAnsi="Consolas"/>
      <w:color w:val="7D9029"/>
      <w:sz w:val="22"/>
    </w:rPr>
  </w:style>
  <w:style w:type="character" w:customStyle="1" w:styleId="81">
    <w:name w:val="RegionMarkerTok"/>
    <w:basedOn w:val="52"/>
    <w:qFormat/>
    <w:uiPriority w:val="0"/>
    <w:rPr>
      <w:rFonts w:ascii="Consolas" w:hAnsi="Consolas"/>
      <w:sz w:val="22"/>
    </w:rPr>
  </w:style>
  <w:style w:type="character" w:customStyle="1" w:styleId="82">
    <w:name w:val="InformationTok"/>
    <w:basedOn w:val="52"/>
    <w:qFormat/>
    <w:uiPriority w:val="0"/>
    <w:rPr>
      <w:rFonts w:ascii="Consolas" w:hAnsi="Consolas"/>
      <w:b/>
      <w:i/>
      <w:color w:val="60A0B0"/>
      <w:sz w:val="22"/>
    </w:rPr>
  </w:style>
  <w:style w:type="character" w:customStyle="1" w:styleId="83">
    <w:name w:val="WarningTok"/>
    <w:basedOn w:val="52"/>
    <w:qFormat/>
    <w:uiPriority w:val="0"/>
    <w:rPr>
      <w:rFonts w:ascii="Consolas" w:hAnsi="Consolas"/>
      <w:b/>
      <w:i/>
      <w:color w:val="60A0B0"/>
      <w:sz w:val="22"/>
    </w:rPr>
  </w:style>
  <w:style w:type="character" w:customStyle="1" w:styleId="84">
    <w:name w:val="AlertTok"/>
    <w:basedOn w:val="52"/>
    <w:qFormat/>
    <w:uiPriority w:val="0"/>
    <w:rPr>
      <w:rFonts w:ascii="Consolas" w:hAnsi="Consolas"/>
      <w:b/>
      <w:color w:val="FF0000"/>
      <w:sz w:val="22"/>
    </w:rPr>
  </w:style>
  <w:style w:type="character" w:customStyle="1" w:styleId="85">
    <w:name w:val="ErrorTok"/>
    <w:basedOn w:val="52"/>
    <w:qFormat/>
    <w:uiPriority w:val="0"/>
    <w:rPr>
      <w:rFonts w:ascii="Consolas" w:hAnsi="Consolas"/>
      <w:b/>
      <w:color w:val="FF0000"/>
      <w:sz w:val="22"/>
    </w:rPr>
  </w:style>
  <w:style w:type="character" w:customStyle="1" w:styleId="86">
    <w:name w:val="NormalTok"/>
    <w:basedOn w:val="52"/>
    <w:qFormat/>
    <w:uiPriority w:val="0"/>
    <w:rPr>
      <w:rFonts w:ascii="Consolas" w:hAnsi="Consolas"/>
      <w:sz w:val="22"/>
    </w:rPr>
  </w:style>
  <w:style w:type="character" w:customStyle="1" w:styleId="87">
    <w:name w:val="页眉 字符"/>
    <w:basedOn w:val="23"/>
    <w:link w:val="17"/>
    <w:qFormat/>
    <w:uiPriority w:val="0"/>
    <w:rPr>
      <w:sz w:val="18"/>
      <w:szCs w:val="18"/>
    </w:rPr>
  </w:style>
  <w:style w:type="character" w:customStyle="1" w:styleId="88">
    <w:name w:val="页脚 字符"/>
    <w:basedOn w:val="23"/>
    <w:link w:val="16"/>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491bb879-fa50-462c-9b92-1f36d4f6887b</errorID>
      <errorWord>端</errorWord>
      <group>L1_Word</group>
      <groupName>字词问题</groupName>
      <ability>L2_Typo</ability>
      <abilityName>字词错误</abilityName>
      <candidateList/>
      <explain/>
      <paraID>5A85DE63</paraID>
      <start>0</start>
      <end>1</end>
      <status>ignored</status>
      <modifiedWord/>
      <trackRevisions>false</trackRevisions>
    </reviewItem>
    <reviewItem>
      <errorID>0f148926-f027-4b88-8bc8-c7a105f44593</errorID>
      <errorWord>网</errorWord>
      <group>L1_Word</group>
      <groupName>字词问题</groupName>
      <ability>L2_Typo</ability>
      <abilityName>字词错误</abilityName>
      <candidateList/>
      <explain/>
      <paraID>5CB16E9B</paraID>
      <start>0</start>
      <end>1</end>
      <status>ignored</status>
      <modifiedWord/>
      <trackRevisions>false</trackRevisions>
    </reviewItem>
    <reviewItem>
      <errorID>ec8ec396-c31a-49e7-aae8-f203704bab5e</errorID>
      <errorWord>边缘</errorWord>
      <group>L1_Word</group>
      <groupName>字词问题</groupName>
      <ability>L2_Typo</ability>
      <abilityName>字词错误</abilityName>
      <candidateList/>
      <explain/>
      <paraID>1DED06B4</paraID>
      <start>0</start>
      <end>2</end>
      <status>ignored</status>
      <modifiedWord/>
      <trackRevisions>false</trackRevisions>
    </reviewItem>
    <reviewItem>
      <errorID>6b259119-162e-4e3e-a1f8-ffdfbe147b43</errorID>
      <errorWord>云</errorWord>
      <group>L1_Word</group>
      <groupName>字词问题</groupName>
      <ability>L2_Typo</ability>
      <abilityName>字词错误</abilityName>
      <candidateList/>
      <explain/>
      <paraID>2926EB6D</paraID>
      <start>0</start>
      <end>1</end>
      <status>ignored</status>
      <modifiedWord/>
      <trackRevisions>false</trackRevisions>
    </reviewItem>
    <reviewItem>
      <errorID>58aa341d-394f-44f4-b4c2-b22e1f1b7b63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49</start>
      <end>50</end>
      <status>modified</status>
      <modifiedWord>“</modifiedWord>
      <trackRevisions>false</trackRevisions>
    </reviewItem>
    <reviewItem>
      <errorID>36dc6fd8-37d7-4c4d-b81e-0223769dda76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58</start>
      <end>59</end>
      <status>ignored</status>
      <modifiedWord/>
      <trackRevisions>false</trackRevisions>
    </reviewItem>
    <reviewItem>
      <errorID>a81055e4-ba7a-4ae5-9f25-912a5b61d34c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61</start>
      <end>62</end>
      <status>modified</status>
      <modifiedWord>“</modifiedWord>
      <trackRevisions>false</trackRevisions>
    </reviewItem>
    <reviewItem>
      <errorID>69d47c35-1db2-4325-aac6-942af875a8a9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73</start>
      <end>74</end>
      <status>ignored</status>
      <modifiedWord/>
      <trackRevisions>false</trackRevisions>
    </reviewItem>
    <reviewItem>
      <errorID>209d1479-7b64-4b66-aacc-a588ab69bf6f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121</start>
      <end>122</end>
      <status>modified</status>
      <modifiedWord>“</modifiedWord>
      <trackRevisions>false</trackRevisions>
    </reviewItem>
    <reviewItem>
      <errorID>7d74277f-9bef-498c-b196-49368826c827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126</start>
      <end>127</end>
      <status>ignored</status>
      <modifiedWord/>
      <trackRevisions>false</trackRevisions>
    </reviewItem>
    <reviewItem>
      <errorID>f7cfb84a-4442-4ad7-a1d4-39bacc5819c9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130</start>
      <end>131</end>
      <status>modified</status>
      <modifiedWord>“</modifiedWord>
      <trackRevisions>false</trackRevisions>
    </reviewItem>
    <reviewItem>
      <errorID>3fafe871-d1af-4e8b-a1fc-640d5d6976e5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135</start>
      <end>136</end>
      <status>ignored</status>
      <modifiedWord/>
      <trackRevisions>false</trackRevisions>
    </reviewItem>
    <reviewItem>
      <errorID>7a3d8140-d57a-41ac-9b3c-2ae24c90218d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233</start>
      <end>234</end>
      <status>modified</status>
      <modifiedWord>“</modifiedWord>
      <trackRevisions>false</trackRevisions>
    </reviewItem>
    <reviewItem>
      <errorID>09d9a919-ca2f-494f-a2a8-d07d9aa518c1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240</start>
      <end>241</end>
      <status>ignored</status>
      <modifiedWord/>
      <trackRevisions>false</trackRevisions>
    </reviewItem>
    <reviewItem>
      <errorID>6199e0ff-959b-4fc5-8022-bef6adf0d867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79257215</paraID>
      <start>102</start>
      <end>103</end>
      <status>modified</status>
      <modifiedWord>“</modifiedWord>
      <trackRevisions>false</trackRevisions>
    </reviewItem>
    <reviewItem>
      <errorID>acd4d67d-ee3c-4c9c-a586-920f583a6b71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79257215</paraID>
      <start>116</start>
      <end>117</end>
      <status>ignored</status>
      <modifiedWord/>
      <trackRevisions>false</trackRevisions>
    </reviewItem>
  </reviewItems>
  <config/>
</contractReview>
</file>

<file path=customXml/itemProps1.xml><?xml version="1.0" encoding="utf-8"?>
<ds:datastoreItem xmlns:ds="http://schemas.openxmlformats.org/officeDocument/2006/customXml" ds:itemID="{AC53D476-1497-47E4-B3E2-275A9ABCEAAF}">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6084</Words>
  <Characters>7396</Characters>
  <Lines>66</Lines>
  <Paragraphs>18</Paragraphs>
  <TotalTime>25</TotalTime>
  <ScaleCrop>false</ScaleCrop>
  <LinksUpToDate>false</LinksUpToDate>
  <CharactersWithSpaces>7654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2026-06-23T01:21:00Z</dcterms:created>
  <dc:creator>CccraBbb</dc:creator>
  <cp:lastModifiedBy>CccraBbb</cp:lastModifiedBy>
  <dcterms:modified xsi:type="dcterms:W3CDTF">2026-06-23T13:24:12Z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eyJoZGlkIjoiMzQ0NGM4OTNlOTg4OTdjNWE0Nzk1ZjhhMmEyNWQ3MmUiLCJ1c2VySWQiOiIxNjE3MTg2NDMyIn0=</vt:lpwstr>
  </property>
  <property fmtid="{D5CDD505-2E9C-101B-9397-08002B2CF9AE}" pid="3" name="KSOProductBuildVer">
    <vt:lpwstr>2052-12.1.0.26895</vt:lpwstr>
  </property>
  <property fmtid="{D5CDD505-2E9C-101B-9397-08002B2CF9AE}" pid="4" name="ICV">
    <vt:lpwstr>7056D3A3B6A64ED0A57E4B3E66DE2EAB_13</vt:lpwstr>
  </property>
</Properties>
</file>