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005840"/>
          <w:sz w:val="64"/>
        </w:rPr>
        <w:t>CONVARG</w:t>
      </w:r>
      <w:r>
        <w:br/>
      </w:r>
      <w:r>
        <w:rPr>
          <w:b/>
          <w:sz w:val="44"/>
        </w:rPr>
        <w:t>Detailed Product Requirements Document</w:t>
      </w:r>
      <w:r>
        <w:br/>
        <w:br/>
      </w:r>
      <w:r>
        <w:rPr>
          <w:i/>
        </w:rPr>
        <w:t>Business Operating System for African SMEs and Mid-Market Firms</w:t>
      </w:r>
      <w:r>
        <w:br/>
        <w:br/>
      </w:r>
      <w:r>
        <w:t>Version 1.0  |  21 September 2026 source brief  |  Product / UX / Engineering</w:t>
      </w:r>
      <w:r>
        <w:br/>
        <w:br/>
      </w:r>
      <w:r>
        <w:rPr>
          <w:b/>
        </w:rPr>
        <w:t>Prepared from the supplied Convarg UI PRD — Figma Design Brief.</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F2EE"/>
          </w:tcPr>
          <w:p>
            <w:r/>
            <w:r>
              <w:rPr>
                <w:b/>
                <w:sz w:val="17"/>
              </w:rPr>
              <w:t>Field</w:t>
            </w:r>
          </w:p>
        </w:tc>
        <w:tc>
          <w:tcPr>
            <w:tcW w:type="dxa" w:w="5040"/>
            <w:vAlign w:val="center"/>
            <w:shd w:fill="E7F2EE"/>
          </w:tcPr>
          <w:p>
            <w:r/>
            <w:r>
              <w:rPr>
                <w:b/>
                <w:sz w:val="17"/>
              </w:rPr>
              <w:t>Value</w:t>
            </w:r>
          </w:p>
        </w:tc>
      </w:tr>
      <w:tr>
        <w:tc>
          <w:tcPr>
            <w:tcW w:type="dxa" w:w="5040"/>
            <w:vAlign w:val="center"/>
          </w:tcPr>
          <w:p>
            <w:r/>
            <w:r>
              <w:rPr>
                <w:b w:val="0"/>
                <w:sz w:val="17"/>
              </w:rPr>
              <w:t>Product</w:t>
            </w:r>
          </w:p>
        </w:tc>
        <w:tc>
          <w:tcPr>
            <w:tcW w:type="dxa" w:w="5040"/>
            <w:vAlign w:val="center"/>
          </w:tcPr>
          <w:p>
            <w:r/>
            <w:r>
              <w:rPr>
                <w:b w:val="0"/>
                <w:sz w:val="17"/>
              </w:rPr>
              <w:t>Convarg</w:t>
            </w:r>
          </w:p>
        </w:tc>
      </w:tr>
      <w:tr>
        <w:tc>
          <w:tcPr>
            <w:tcW w:type="dxa" w:w="5040"/>
            <w:vAlign w:val="center"/>
          </w:tcPr>
          <w:p>
            <w:r/>
            <w:r>
              <w:rPr>
                <w:b w:val="0"/>
                <w:sz w:val="17"/>
              </w:rPr>
              <w:t>Product family</w:t>
            </w:r>
          </w:p>
        </w:tc>
        <w:tc>
          <w:tcPr>
            <w:tcW w:type="dxa" w:w="5040"/>
            <w:vAlign w:val="center"/>
          </w:tcPr>
          <w:p>
            <w:r/>
            <w:r>
              <w:rPr>
                <w:b w:val="0"/>
                <w:sz w:val="17"/>
              </w:rPr>
              <w:t>Varg applications: VargID, VargCore, VargFlow, VargBooks, VargPay, VargTax, VargDesk, VargMail, VargHelp, VargNotify</w:t>
            </w:r>
          </w:p>
        </w:tc>
      </w:tr>
      <w:tr>
        <w:tc>
          <w:tcPr>
            <w:tcW w:type="dxa" w:w="5040"/>
            <w:vAlign w:val="center"/>
          </w:tcPr>
          <w:p>
            <w:r/>
            <w:r>
              <w:rPr>
                <w:b w:val="0"/>
                <w:sz w:val="17"/>
              </w:rPr>
              <w:t>Document type</w:t>
            </w:r>
          </w:p>
        </w:tc>
        <w:tc>
          <w:tcPr>
            <w:tcW w:type="dxa" w:w="5040"/>
            <w:vAlign w:val="center"/>
          </w:tcPr>
          <w:p>
            <w:r/>
            <w:r>
              <w:rPr>
                <w:b w:val="0"/>
                <w:sz w:val="17"/>
              </w:rPr>
              <w:t>Detailed Product Requirements Document (PRD)</w:t>
            </w:r>
          </w:p>
        </w:tc>
      </w:tr>
      <w:tr>
        <w:tc>
          <w:tcPr>
            <w:tcW w:type="dxa" w:w="5040"/>
            <w:vAlign w:val="center"/>
          </w:tcPr>
          <w:p>
            <w:r/>
            <w:r>
              <w:rPr>
                <w:b w:val="0"/>
                <w:sz w:val="17"/>
              </w:rPr>
              <w:t>Source</w:t>
            </w:r>
          </w:p>
        </w:tc>
        <w:tc>
          <w:tcPr>
            <w:tcW w:type="dxa" w:w="5040"/>
            <w:vAlign w:val="center"/>
          </w:tcPr>
          <w:p>
            <w:r/>
            <w:r>
              <w:rPr>
                <w:b w:val="0"/>
                <w:sz w:val="17"/>
              </w:rPr>
              <w:t>Convarg UI PRD — Figma Design Brief, dated 2026-09-21</w:t>
            </w:r>
          </w:p>
        </w:tc>
      </w:tr>
      <w:tr>
        <w:tc>
          <w:tcPr>
            <w:tcW w:type="dxa" w:w="5040"/>
            <w:vAlign w:val="center"/>
          </w:tcPr>
          <w:p>
            <w:r/>
            <w:r>
              <w:rPr>
                <w:b w:val="0"/>
                <w:sz w:val="17"/>
              </w:rPr>
              <w:t>Status</w:t>
            </w:r>
          </w:p>
        </w:tc>
        <w:tc>
          <w:tcPr>
            <w:tcW w:type="dxa" w:w="5040"/>
            <w:vAlign w:val="center"/>
          </w:tcPr>
          <w:p>
            <w:r/>
            <w:r>
              <w:rPr>
                <w:b w:val="0"/>
                <w:sz w:val="17"/>
              </w:rPr>
              <w:t>Draft for product/design/engineering alignment</w:t>
            </w:r>
          </w:p>
        </w:tc>
      </w:tr>
      <w:tr>
        <w:tc>
          <w:tcPr>
            <w:tcW w:type="dxa" w:w="5040"/>
            <w:vAlign w:val="center"/>
          </w:tcPr>
          <w:p>
            <w:r/>
            <w:r>
              <w:rPr>
                <w:b w:val="0"/>
                <w:sz w:val="17"/>
              </w:rPr>
              <w:t>Primary market</w:t>
            </w:r>
          </w:p>
        </w:tc>
        <w:tc>
          <w:tcPr>
            <w:tcW w:type="dxa" w:w="5040"/>
            <w:vAlign w:val="center"/>
          </w:tcPr>
          <w:p>
            <w:r/>
            <w:r>
              <w:rPr>
                <w:b w:val="0"/>
                <w:sz w:val="17"/>
              </w:rPr>
              <w:t>Nigeria; English-only at present</w:t>
            </w:r>
          </w:p>
        </w:tc>
      </w:tr>
      <w:tr>
        <w:tc>
          <w:tcPr>
            <w:tcW w:type="dxa" w:w="5040"/>
            <w:vAlign w:val="center"/>
          </w:tcPr>
          <w:p>
            <w:r/>
            <w:r>
              <w:rPr>
                <w:b w:val="0"/>
                <w:sz w:val="17"/>
              </w:rPr>
              <w:t>Primary device</w:t>
            </w:r>
          </w:p>
        </w:tc>
        <w:tc>
          <w:tcPr>
            <w:tcW w:type="dxa" w:w="5040"/>
            <w:vAlign w:val="center"/>
          </w:tcPr>
          <w:p>
            <w:r/>
            <w:r>
              <w:rPr>
                <w:b w:val="0"/>
                <w:sz w:val="17"/>
              </w:rPr>
              <w:t>Desktop-first</w:t>
            </w:r>
          </w:p>
        </w:tc>
      </w:tr>
      <w:tr>
        <w:tc>
          <w:tcPr>
            <w:tcW w:type="dxa" w:w="5040"/>
            <w:vAlign w:val="center"/>
          </w:tcPr>
          <w:p>
            <w:r/>
            <w:r>
              <w:rPr>
                <w:b w:val="0"/>
                <w:sz w:val="17"/>
              </w:rPr>
              <w:t>Design width</w:t>
            </w:r>
          </w:p>
        </w:tc>
        <w:tc>
          <w:tcPr>
            <w:tcW w:type="dxa" w:w="5040"/>
            <w:vAlign w:val="center"/>
          </w:tcPr>
          <w:p>
            <w:r/>
            <w:r>
              <w:rPr>
                <w:b w:val="0"/>
                <w:sz w:val="17"/>
              </w:rPr>
              <w:t>1440px; verify at 1280px</w:t>
            </w:r>
          </w:p>
        </w:tc>
      </w:tr>
      <w:tr>
        <w:tc>
          <w:tcPr>
            <w:tcW w:type="dxa" w:w="5040"/>
            <w:vAlign w:val="center"/>
          </w:tcPr>
          <w:p>
            <w:r/>
            <w:r>
              <w:rPr>
                <w:b w:val="0"/>
                <w:sz w:val="17"/>
              </w:rPr>
              <w:t>Mobile targets</w:t>
            </w:r>
          </w:p>
        </w:tc>
        <w:tc>
          <w:tcPr>
            <w:tcW w:type="dxa" w:w="5040"/>
            <w:vAlign w:val="center"/>
          </w:tcPr>
          <w:p>
            <w:r/>
            <w:r>
              <w:rPr>
                <w:b w:val="0"/>
                <w:sz w:val="17"/>
              </w:rPr>
              <w:t>390px for sign-in, MFA, notifications, approvals inbox, and public/unauthenticated pages</w:t>
            </w:r>
          </w:p>
        </w:tc>
      </w:tr>
      <w:tr>
        <w:tc>
          <w:tcPr>
            <w:tcW w:type="dxa" w:w="5040"/>
            <w:vAlign w:val="center"/>
          </w:tcPr>
          <w:p>
            <w:r/>
            <w:r>
              <w:rPr>
                <w:b w:val="0"/>
                <w:sz w:val="17"/>
              </w:rPr>
              <w:t>Tablet target</w:t>
            </w:r>
          </w:p>
        </w:tc>
        <w:tc>
          <w:tcPr>
            <w:tcW w:type="dxa" w:w="5040"/>
            <w:vAlign w:val="center"/>
          </w:tcPr>
          <w:p>
            <w:r/>
            <w:r>
              <w:rPr>
                <w:b w:val="0"/>
                <w:sz w:val="17"/>
              </w:rPr>
              <w:t>768px for helpdesk and approvals inbox</w:t>
            </w:r>
          </w:p>
        </w:tc>
      </w:tr>
      <w:tr>
        <w:tc>
          <w:tcPr>
            <w:tcW w:type="dxa" w:w="5040"/>
            <w:vAlign w:val="center"/>
          </w:tcPr>
          <w:p>
            <w:r/>
            <w:r>
              <w:rPr>
                <w:b w:val="0"/>
                <w:sz w:val="17"/>
              </w:rPr>
              <w:t>Accessibility</w:t>
            </w:r>
          </w:p>
        </w:tc>
        <w:tc>
          <w:tcPr>
            <w:tcW w:type="dxa" w:w="5040"/>
            <w:vAlign w:val="center"/>
          </w:tcPr>
          <w:p>
            <w:r/>
            <w:r>
              <w:rPr>
                <w:b w:val="0"/>
                <w:sz w:val="17"/>
              </w:rPr>
              <w:t>WCAG 2.1 AA</w:t>
            </w:r>
          </w:p>
        </w:tc>
      </w:tr>
    </w:tbl>
    <w:p/>
    <w:p>
      <w:pPr>
        <w:pStyle w:val="Heading1"/>
      </w:pPr>
      <w:r>
        <w:t>2. Executive Summary</w:t>
      </w:r>
    </w:p>
    <w:p>
      <w:r>
        <w:t>Convarg is a business operating system for African SMEs and mid-market firms. The product provides one login, one shared data layer, and a growing suite of applications that tenants license individually. Applications are licensing units rather than separate products or codebases; every authenticated experience lives inside one shared shell.</w:t>
      </w:r>
    </w:p>
    <w:p>
      <w:r>
        <w:t>The existing Go backend exposes 234 production endpoints across 14 built modules, while the Next.js frontend currently exposes only six screens. The purpose of this PRD is to close that interface gap with a coherent, reusable product experience grounded in the existing API behavior.</w:t>
      </w:r>
    </w:p>
    <w:p>
      <w:r>
        <w:t>The implementation strategy prioritizes the shared shell, identity, onboarding, notifications, the generic object renderer, and reusable interaction primitives before app-specific surfaces.</w:t>
      </w:r>
    </w:p>
    <w:p>
      <w:pPr>
        <w:pStyle w:val="Heading1"/>
      </w:pPr>
      <w:r>
        <w:t>3. Product Definition</w:t>
      </w:r>
    </w:p>
    <w:p>
      <w:pPr>
        <w:pStyle w:val="Heading2"/>
      </w:pPr>
      <w:r>
        <w:t>3.1 Product vision</w:t>
      </w:r>
    </w:p>
    <w:p>
      <w:r>
        <w:t>Provide SMEs and mid-market firms with a unified operating environment in which identity, data, workflows, finance, payments, tax, support, communications, knowledge, and notifications work together rather than as disconnected tools.</w:t>
      </w:r>
    </w:p>
    <w:p>
      <w:pPr>
        <w:pStyle w:val="Heading2"/>
      </w:pPr>
      <w:r>
        <w:t>3.2 Product architecture</w:t>
      </w:r>
    </w:p>
    <w:p>
      <w:pPr>
        <w:pStyle w:val="ListBullet"/>
        <w:spacing w:after="40"/>
      </w:pPr>
      <w:r>
        <w:t>Convarg is the company/platform; Varg is the product prefix (for example, VargBooks, VargDesk, VargPay).</w:t>
      </w:r>
    </w:p>
    <w:p>
      <w:pPr>
        <w:pStyle w:val="ListBullet"/>
        <w:spacing w:after="40"/>
      </w:pPr>
      <w:r>
        <w:t>An app is a licensing unit, not a separate codebase.</w:t>
      </w:r>
    </w:p>
    <w:p>
      <w:pPr>
        <w:pStyle w:val="ListBullet"/>
        <w:spacing w:after="40"/>
      </w:pPr>
      <w:r>
        <w:t>All authenticated apps share the same login, data layer, shell, sidebar/navigation model, and account context.</w:t>
      </w:r>
    </w:p>
    <w:p>
      <w:pPr>
        <w:pStyle w:val="ListBullet"/>
        <w:spacing w:after="40"/>
      </w:pPr>
      <w:r>
        <w:t>A Free-plan tenant sees VargCore and VargID; additional licensed apps become available in the same shell.</w:t>
      </w:r>
    </w:p>
    <w:p>
      <w:pPr>
        <w:pStyle w:val="ListBullet"/>
        <w:spacing w:after="40"/>
      </w:pPr>
      <w:r>
        <w:t>Locked apps should remain discoverable with an upgrade affordance where applicable.</w:t>
      </w:r>
    </w:p>
    <w:p>
      <w:pPr>
        <w:pStyle w:val="Heading2"/>
      </w:pPr>
      <w:r>
        <w:t>3.3 Brand promise</w:t>
      </w:r>
    </w:p>
    <w:p>
      <w:r>
        <w:t>VARG represents Velocity, Automation, Reliability, and Growth. The source brief requires this to remain visible on marketing-adjacent surfaces such as sign-in, the empty workspace, and the about panel for the next couple of years.</w:t>
      </w:r>
    </w:p>
    <w:p>
      <w:pPr>
        <w:pStyle w:val="Heading1"/>
      </w:pPr>
      <w:r>
        <w:t>4. Current State and Problem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F2EE"/>
          </w:tcPr>
          <w:p>
            <w:r/>
            <w:r>
              <w:rPr>
                <w:b/>
                <w:sz w:val="17"/>
              </w:rPr>
              <w:t>Layer</w:t>
            </w:r>
          </w:p>
        </w:tc>
        <w:tc>
          <w:tcPr>
            <w:tcW w:type="dxa" w:w="3360"/>
            <w:vAlign w:val="center"/>
            <w:shd w:fill="E7F2EE"/>
          </w:tcPr>
          <w:p>
            <w:r/>
            <w:r>
              <w:rPr>
                <w:b/>
                <w:sz w:val="17"/>
              </w:rPr>
              <w:t>Current state</w:t>
            </w:r>
          </w:p>
        </w:tc>
        <w:tc>
          <w:tcPr>
            <w:tcW w:type="dxa" w:w="3360"/>
            <w:vAlign w:val="center"/>
            <w:shd w:fill="E7F2EE"/>
          </w:tcPr>
          <w:p>
            <w:r/>
            <w:r>
              <w:rPr>
                <w:b/>
                <w:sz w:val="17"/>
              </w:rPr>
              <w:t>PRD implication</w:t>
            </w:r>
          </w:p>
        </w:tc>
      </w:tr>
      <w:tr>
        <w:tc>
          <w:tcPr>
            <w:tcW w:type="dxa" w:w="3360"/>
            <w:vAlign w:val="center"/>
          </w:tcPr>
          <w:p>
            <w:r/>
            <w:r>
              <w:rPr>
                <w:b w:val="0"/>
                <w:sz w:val="17"/>
              </w:rPr>
              <w:t>Backend API</w:t>
            </w:r>
          </w:p>
        </w:tc>
        <w:tc>
          <w:tcPr>
            <w:tcW w:type="dxa" w:w="3360"/>
            <w:vAlign w:val="center"/>
          </w:tcPr>
          <w:p>
            <w:r/>
            <w:r>
              <w:rPr>
                <w:b w:val="0"/>
                <w:sz w:val="17"/>
              </w:rPr>
              <w:t>234 production endpoints; 14 modules</w:t>
            </w:r>
          </w:p>
        </w:tc>
        <w:tc>
          <w:tcPr>
            <w:tcW w:type="dxa" w:w="3360"/>
            <w:vAlign w:val="center"/>
          </w:tcPr>
          <w:p>
            <w:r/>
            <w:r>
              <w:rPr>
                <w:b w:val="0"/>
                <w:sz w:val="17"/>
              </w:rPr>
              <w:t>Design against real API behavior rather than speculative screens.</w:t>
            </w:r>
          </w:p>
        </w:tc>
      </w:tr>
      <w:tr>
        <w:tc>
          <w:tcPr>
            <w:tcW w:type="dxa" w:w="3360"/>
            <w:vAlign w:val="center"/>
          </w:tcPr>
          <w:p>
            <w:r/>
            <w:r>
              <w:rPr>
                <w:b w:val="0"/>
                <w:sz w:val="17"/>
              </w:rPr>
              <w:t>Design tokens</w:t>
            </w:r>
          </w:p>
        </w:tc>
        <w:tc>
          <w:tcPr>
            <w:tcW w:type="dxa" w:w="3360"/>
            <w:vAlign w:val="center"/>
          </w:tcPr>
          <w:p>
            <w:r/>
            <w:r>
              <w:rPr>
                <w:b w:val="0"/>
                <w:sz w:val="17"/>
              </w:rPr>
              <w:t>Extracted from Figma into app/design-tokens/</w:t>
            </w:r>
          </w:p>
        </w:tc>
        <w:tc>
          <w:tcPr>
            <w:tcW w:type="dxa" w:w="3360"/>
            <w:vAlign w:val="center"/>
          </w:tcPr>
          <w:p>
            <w:r/>
            <w:r>
              <w:rPr>
                <w:b w:val="0"/>
                <w:sz w:val="17"/>
              </w:rPr>
              <w:t>Use existing variables; do not re-pick colors or introduce raw hex values.</w:t>
            </w:r>
          </w:p>
        </w:tc>
      </w:tr>
      <w:tr>
        <w:tc>
          <w:tcPr>
            <w:tcW w:type="dxa" w:w="3360"/>
            <w:vAlign w:val="center"/>
          </w:tcPr>
          <w:p>
            <w:r/>
            <w:r>
              <w:rPr>
                <w:b w:val="0"/>
                <w:sz w:val="17"/>
              </w:rPr>
              <w:t>Frontend</w:t>
            </w:r>
          </w:p>
        </w:tc>
        <w:tc>
          <w:tcPr>
            <w:tcW w:type="dxa" w:w="3360"/>
            <w:vAlign w:val="center"/>
          </w:tcPr>
          <w:p>
            <w:r/>
            <w:r>
              <w:rPr>
                <w:b w:val="0"/>
                <w:sz w:val="17"/>
              </w:rPr>
              <w:t>Next.js; six screens including sign-in, MFA, shell and placeholders</w:t>
            </w:r>
          </w:p>
        </w:tc>
        <w:tc>
          <w:tcPr>
            <w:tcW w:type="dxa" w:w="3360"/>
            <w:vAlign w:val="center"/>
          </w:tcPr>
          <w:p>
            <w:r/>
            <w:r>
              <w:rPr>
                <w:b w:val="0"/>
                <w:sz w:val="17"/>
              </w:rPr>
              <w:t>Large UX/UI implementation gap remains.</w:t>
            </w:r>
          </w:p>
        </w:tc>
      </w:tr>
      <w:tr>
        <w:tc>
          <w:tcPr>
            <w:tcW w:type="dxa" w:w="3360"/>
            <w:vAlign w:val="center"/>
          </w:tcPr>
          <w:p>
            <w:r/>
            <w:r>
              <w:rPr>
                <w:b w:val="0"/>
                <w:sz w:val="17"/>
              </w:rPr>
              <w:t>Components</w:t>
            </w:r>
          </w:p>
        </w:tc>
        <w:tc>
          <w:tcPr>
            <w:tcW w:type="dxa" w:w="3360"/>
            <w:vAlign w:val="center"/>
          </w:tcPr>
          <w:p>
            <w:r/>
            <w:r>
              <w:rPr>
                <w:b w:val="0"/>
                <w:sz w:val="17"/>
              </w:rPr>
              <w:t>Core shadcn/ui-based components already coded</w:t>
            </w:r>
          </w:p>
        </w:tc>
        <w:tc>
          <w:tcPr>
            <w:tcW w:type="dxa" w:w="3360"/>
            <w:vAlign w:val="center"/>
          </w:tcPr>
          <w:p>
            <w:r/>
            <w:r>
              <w:rPr>
                <w:b w:val="0"/>
                <w:sz w:val="17"/>
              </w:rPr>
              <w:t>Reuse anatomy and avoid parallel component systems.</w:t>
            </w:r>
          </w:p>
        </w:tc>
      </w:tr>
      <w:tr>
        <w:tc>
          <w:tcPr>
            <w:tcW w:type="dxa" w:w="3360"/>
            <w:vAlign w:val="center"/>
          </w:tcPr>
          <w:p>
            <w:r/>
            <w:r>
              <w:rPr>
                <w:b w:val="0"/>
                <w:sz w:val="17"/>
              </w:rPr>
              <w:t>Target product surface</w:t>
            </w:r>
          </w:p>
        </w:tc>
        <w:tc>
          <w:tcPr>
            <w:tcW w:type="dxa" w:w="3360"/>
            <w:vAlign w:val="center"/>
          </w:tcPr>
          <w:p>
            <w:r/>
            <w:r>
              <w:rPr>
                <w:b w:val="0"/>
                <w:sz w:val="17"/>
              </w:rPr>
              <w:t>Roughly 78 screens across the built apps</w:t>
            </w:r>
          </w:p>
        </w:tc>
        <w:tc>
          <w:tcPr>
            <w:tcW w:type="dxa" w:w="3360"/>
            <w:vAlign w:val="center"/>
          </w:tcPr>
          <w:p>
            <w:r/>
            <w:r>
              <w:rPr>
                <w:b w:val="0"/>
                <w:sz w:val="17"/>
              </w:rPr>
              <w:t>Deliver in four waves.</w:t>
            </w:r>
          </w:p>
        </w:tc>
      </w:tr>
    </w:tbl>
    <w:p/>
    <w:p>
      <w:pPr>
        <w:pStyle w:val="Heading1"/>
      </w:pPr>
      <w:r>
        <w:t>5. Goals and Success Criteria</w:t>
      </w:r>
    </w:p>
    <w:p>
      <w:pPr>
        <w:pStyle w:val="Heading2"/>
      </w:pPr>
      <w:r>
        <w:t>5.1 Product goals</w:t>
      </w:r>
    </w:p>
    <w:p>
      <w:pPr>
        <w:pStyle w:val="ListBullet"/>
        <w:spacing w:after="40"/>
      </w:pPr>
      <w:r>
        <w:t>Close the gap between the production-ready backend and the limited current frontend.</w:t>
      </w:r>
    </w:p>
    <w:p>
      <w:pPr>
        <w:pStyle w:val="ListBullet"/>
        <w:spacing w:after="40"/>
      </w:pPr>
      <w:r>
        <w:t>Create one consistent shell and interaction model across all licensed Varg apps.</w:t>
      </w:r>
    </w:p>
    <w:p>
      <w:pPr>
        <w:pStyle w:val="ListBullet"/>
        <w:spacing w:after="40"/>
      </w:pPr>
      <w:r>
        <w:t>Make onboarding produce a meaningful workspace rather than a blank state.</w:t>
      </w:r>
    </w:p>
    <w:p>
      <w:pPr>
        <w:pStyle w:val="ListBullet"/>
        <w:spacing w:after="40"/>
      </w:pPr>
      <w:r>
        <w:t>Create reusable components and patterns that can support the full suite.</w:t>
      </w:r>
    </w:p>
    <w:p>
      <w:pPr>
        <w:pStyle w:val="ListBullet"/>
        <w:spacing w:after="40"/>
      </w:pPr>
      <w:r>
        <w:t>Represent permissions, errors, loading, empty, upgrade, and realtime states as first-class product states.</w:t>
      </w:r>
    </w:p>
    <w:p>
      <w:pPr>
        <w:pStyle w:val="ListBullet"/>
        <w:spacing w:after="40"/>
      </w:pPr>
      <w:r>
        <w:t>Support high-density workflows for operations, finance, security, support, and compliance users without sacrificing usability.</w:t>
      </w:r>
    </w:p>
    <w:p>
      <w:pPr>
        <w:pStyle w:val="ListBullet"/>
        <w:spacing w:after="40"/>
      </w:pPr>
      <w:r>
        <w:t>Provide a coherent public/unauthenticated experience for help, CSAT, and payment return flows.</w:t>
      </w:r>
    </w:p>
    <w:p>
      <w:pPr>
        <w:pStyle w:val="Heading2"/>
      </w:pPr>
      <w:r>
        <w:t>5.2 Success criteria</w:t>
      </w:r>
    </w:p>
    <w:p>
      <w:pPr>
        <w:pStyle w:val="ListBullet"/>
        <w:spacing w:after="40"/>
      </w:pPr>
      <w:r>
        <w:t>Every screen in Waves 1–3 has required states, annotations, and responsive frames.</w:t>
      </w:r>
    </w:p>
    <w:p>
      <w:pPr>
        <w:pStyle w:val="ListBullet"/>
        <w:spacing w:after="40"/>
      </w:pPr>
      <w:r>
        <w:t>Every shared component has required variants and is reused by screens rather than detached.</w:t>
      </w:r>
    </w:p>
    <w:p>
      <w:pPr>
        <w:pStyle w:val="ListBullet"/>
        <w:spacing w:after="40"/>
      </w:pPr>
      <w:r>
        <w:t>All design values resolve to variables; no raw hex values are introduced into the Figma implementation.</w:t>
      </w:r>
    </w:p>
    <w:p>
      <w:pPr>
        <w:pStyle w:val="ListBullet"/>
        <w:spacing w:after="40"/>
      </w:pPr>
      <w:r>
        <w:t>Contrast passes WCAG 2.1 AA in light and dark modes where applicable.</w:t>
      </w:r>
    </w:p>
    <w:p>
      <w:pPr>
        <w:pStyle w:val="ListBullet"/>
        <w:spacing w:after="40"/>
      </w:pPr>
      <w:r>
        <w:t>The three required end-to-end prototypes run without dead ends.</w:t>
      </w:r>
    </w:p>
    <w:p>
      <w:pPr>
        <w:pStyle w:val="ListBullet"/>
        <w:spacing w:after="40"/>
      </w:pPr>
      <w:r>
        <w:t>A developer can open any Figma frame and identify the endpoint(s) it reads/writes.</w:t>
      </w:r>
    </w:p>
    <w:p>
      <w:pPr>
        <w:pStyle w:val="ListBullet"/>
        <w:spacing w:after="40"/>
      </w:pPr>
      <w:r>
        <w:t>Wave 1 is reviewed and signed off before Wave 2 begins.</w:t>
      </w:r>
    </w:p>
    <w:p>
      <w:pPr>
        <w:pStyle w:val="Heading1"/>
      </w:pPr>
      <w:r>
        <w:t>6. Personas and User Needs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F2EE"/>
          </w:tcPr>
          <w:p>
            <w:r/>
            <w:r>
              <w:rPr>
                <w:b/>
                <w:sz w:val="17"/>
              </w:rPr>
              <w:t>Persona</w:t>
            </w:r>
          </w:p>
        </w:tc>
        <w:tc>
          <w:tcPr>
            <w:tcW w:type="dxa" w:w="3360"/>
            <w:vAlign w:val="center"/>
            <w:shd w:fill="E7F2EE"/>
          </w:tcPr>
          <w:p>
            <w:r/>
            <w:r>
              <w:rPr>
                <w:b/>
                <w:sz w:val="17"/>
              </w:rPr>
              <w:t>Primary activities</w:t>
            </w:r>
          </w:p>
        </w:tc>
        <w:tc>
          <w:tcPr>
            <w:tcW w:type="dxa" w:w="3360"/>
            <w:vAlign w:val="center"/>
            <w:shd w:fill="E7F2EE"/>
          </w:tcPr>
          <w:p>
            <w:r/>
            <w:r>
              <w:rPr>
                <w:b/>
                <w:sz w:val="17"/>
              </w:rPr>
              <w:t>UX needs</w:t>
            </w:r>
          </w:p>
        </w:tc>
      </w:tr>
      <w:tr>
        <w:tc>
          <w:tcPr>
            <w:tcW w:type="dxa" w:w="3360"/>
            <w:vAlign w:val="center"/>
          </w:tcPr>
          <w:p>
            <w:r/>
            <w:r>
              <w:rPr>
                <w:b w:val="0"/>
                <w:sz w:val="17"/>
              </w:rPr>
              <w:t>Owner / founding admin</w:t>
            </w:r>
          </w:p>
        </w:tc>
        <w:tc>
          <w:tcPr>
            <w:tcW w:type="dxa" w:w="3360"/>
            <w:vAlign w:val="center"/>
          </w:tcPr>
          <w:p>
            <w:r/>
            <w:r>
              <w:rPr>
                <w:b w:val="0"/>
                <w:sz w:val="17"/>
              </w:rPr>
              <w:t>Sign up, onboarding, invite people, buy apps</w:t>
            </w:r>
          </w:p>
        </w:tc>
        <w:tc>
          <w:tcPr>
            <w:tcW w:type="dxa" w:w="3360"/>
            <w:vAlign w:val="center"/>
          </w:tcPr>
          <w:p>
            <w:r/>
            <w:r>
              <w:rPr>
                <w:b w:val="0"/>
                <w:sz w:val="17"/>
              </w:rPr>
              <w:t>Low density, guided, assumes little prior knowledge.</w:t>
            </w:r>
          </w:p>
        </w:tc>
      </w:tr>
      <w:tr>
        <w:tc>
          <w:tcPr>
            <w:tcW w:type="dxa" w:w="3360"/>
            <w:vAlign w:val="center"/>
          </w:tcPr>
          <w:p>
            <w:r/>
            <w:r>
              <w:rPr>
                <w:b w:val="0"/>
                <w:sz w:val="17"/>
              </w:rPr>
              <w:t>Operations user</w:t>
            </w:r>
          </w:p>
        </w:tc>
        <w:tc>
          <w:tcPr>
            <w:tcW w:type="dxa" w:w="3360"/>
            <w:vAlign w:val="center"/>
          </w:tcPr>
          <w:p>
            <w:r/>
            <w:r>
              <w:rPr>
                <w:b w:val="0"/>
                <w:sz w:val="17"/>
              </w:rPr>
              <w:t>Invoices, tickets, inbox, repetitive daily work</w:t>
            </w:r>
          </w:p>
        </w:tc>
        <w:tc>
          <w:tcPr>
            <w:tcW w:type="dxa" w:w="3360"/>
            <w:vAlign w:val="center"/>
          </w:tcPr>
          <w:p>
            <w:r/>
            <w:r>
              <w:rPr>
                <w:b w:val="0"/>
                <w:sz w:val="17"/>
              </w:rPr>
              <w:t>High density, keyboard-first, low interaction cost.</w:t>
            </w:r>
          </w:p>
        </w:tc>
      </w:tr>
      <w:tr>
        <w:tc>
          <w:tcPr>
            <w:tcW w:type="dxa" w:w="3360"/>
            <w:vAlign w:val="center"/>
          </w:tcPr>
          <w:p>
            <w:r/>
            <w:r>
              <w:rPr>
                <w:b w:val="0"/>
                <w:sz w:val="17"/>
              </w:rPr>
              <w:t>Finance user</w:t>
            </w:r>
          </w:p>
        </w:tc>
        <w:tc>
          <w:tcPr>
            <w:tcW w:type="dxa" w:w="3360"/>
            <w:vAlign w:val="center"/>
          </w:tcPr>
          <w:p>
            <w:r/>
            <w:r>
              <w:rPr>
                <w:b w:val="0"/>
                <w:sz w:val="17"/>
              </w:rPr>
              <w:t>Invoices, bills, reconciliation, tax returns</w:t>
            </w:r>
          </w:p>
        </w:tc>
        <w:tc>
          <w:tcPr>
            <w:tcW w:type="dxa" w:w="3360"/>
            <w:vAlign w:val="center"/>
          </w:tcPr>
          <w:p>
            <w:r/>
            <w:r>
              <w:rPr>
                <w:b w:val="0"/>
                <w:sz w:val="17"/>
              </w:rPr>
              <w:t>High density with confirmation for ledger-affecting actions; accuracy over speed.</w:t>
            </w:r>
          </w:p>
        </w:tc>
      </w:tr>
      <w:tr>
        <w:tc>
          <w:tcPr>
            <w:tcW w:type="dxa" w:w="3360"/>
            <w:vAlign w:val="center"/>
          </w:tcPr>
          <w:p>
            <w:r/>
            <w:r>
              <w:rPr>
                <w:b w:val="0"/>
                <w:sz w:val="17"/>
              </w:rPr>
              <w:t>IT / security admin</w:t>
            </w:r>
          </w:p>
        </w:tc>
        <w:tc>
          <w:tcPr>
            <w:tcW w:type="dxa" w:w="3360"/>
            <w:vAlign w:val="center"/>
          </w:tcPr>
          <w:p>
            <w:r/>
            <w:r>
              <w:rPr>
                <w:b w:val="0"/>
                <w:sz w:val="17"/>
              </w:rPr>
              <w:t>Roles, ABAC, SoD, SSO, SCIM, break-glass</w:t>
            </w:r>
          </w:p>
        </w:tc>
        <w:tc>
          <w:tcPr>
            <w:tcW w:type="dxa" w:w="3360"/>
            <w:vAlign w:val="center"/>
          </w:tcPr>
          <w:p>
            <w:r/>
            <w:r>
              <w:rPr>
                <w:b w:val="0"/>
                <w:sz w:val="17"/>
              </w:rPr>
              <w:t>Very high density, tables, filters, auditability, simulation.</w:t>
            </w:r>
          </w:p>
        </w:tc>
      </w:tr>
      <w:tr>
        <w:tc>
          <w:tcPr>
            <w:tcW w:type="dxa" w:w="3360"/>
            <w:vAlign w:val="center"/>
          </w:tcPr>
          <w:p>
            <w:r/>
            <w:r>
              <w:rPr>
                <w:b w:val="0"/>
                <w:sz w:val="17"/>
              </w:rPr>
              <w:t>External customer</w:t>
            </w:r>
          </w:p>
        </w:tc>
        <w:tc>
          <w:tcPr>
            <w:tcW w:type="dxa" w:w="3360"/>
            <w:vAlign w:val="center"/>
          </w:tcPr>
          <w:p>
            <w:r/>
            <w:r>
              <w:rPr>
                <w:b w:val="0"/>
                <w:sz w:val="17"/>
              </w:rPr>
              <w:t>Public help, CSAT, payment checkout</w:t>
            </w:r>
          </w:p>
        </w:tc>
        <w:tc>
          <w:tcPr>
            <w:tcW w:type="dxa" w:w="3360"/>
            <w:vAlign w:val="center"/>
          </w:tcPr>
          <w:p>
            <w:r/>
            <w:r>
              <w:rPr>
                <w:b w:val="0"/>
                <w:sz w:val="17"/>
              </w:rPr>
              <w:t>Minimal, one task per page, mobile-first for public surfaces.</w:t>
            </w:r>
          </w:p>
        </w:tc>
      </w:tr>
      <w:tr>
        <w:tc>
          <w:tcPr>
            <w:tcW w:type="dxa" w:w="3360"/>
            <w:vAlign w:val="center"/>
          </w:tcPr>
          <w:p>
            <w:r/>
            <w:r>
              <w:rPr>
                <w:b w:val="0"/>
                <w:sz w:val="17"/>
              </w:rPr>
              <w:t>Convarg platform staff</w:t>
            </w:r>
          </w:p>
        </w:tc>
        <w:tc>
          <w:tcPr>
            <w:tcW w:type="dxa" w:w="3360"/>
            <w:vAlign w:val="center"/>
          </w:tcPr>
          <w:p>
            <w:r/>
            <w:r>
              <w:rPr>
                <w:b w:val="0"/>
                <w:sz w:val="17"/>
              </w:rPr>
              <w:t>Plan tiers and entitlements</w:t>
            </w:r>
          </w:p>
        </w:tc>
        <w:tc>
          <w:tcPr>
            <w:tcW w:type="dxa" w:w="3360"/>
            <w:vAlign w:val="center"/>
          </w:tcPr>
          <w:p>
            <w:r/>
            <w:r>
              <w:rPr>
                <w:b w:val="0"/>
                <w:sz w:val="17"/>
              </w:rPr>
              <w:t>No product UI; CLI-only per source brief.</w:t>
            </w:r>
          </w:p>
        </w:tc>
      </w:tr>
    </w:tbl>
    <w:p/>
    <w:p>
      <w:pPr>
        <w:pStyle w:val="Heading1"/>
      </w:pPr>
      <w:r>
        <w:t>7. Roles, Permissions and Access Model</w:t>
      </w:r>
    </w:p>
    <w:p>
      <w:r>
        <w:t>Roles are dynamic. The product must not assume fixed named roles such as 'Manager'. UI behavior is capability-driven, using permissions such as 'can approve' or 'can export'.</w:t>
      </w:r>
    </w:p>
    <w:p>
      <w:pPr>
        <w:pStyle w:val="ListBullet"/>
        <w:spacing w:after="40"/>
      </w:pPr>
      <w:r>
        <w:t>Hide actions/features the user can never perform.</w:t>
      </w:r>
    </w:p>
    <w:p>
      <w:pPr>
        <w:pStyle w:val="ListBullet"/>
        <w:spacing w:after="40"/>
      </w:pPr>
      <w:r>
        <w:t>Disable actions with an explanation when access depends on a condition.</w:t>
      </w:r>
    </w:p>
    <w:p>
      <w:pPr>
        <w:pStyle w:val="ListBullet"/>
        <w:spacing w:after="40"/>
      </w:pPr>
      <w:r>
        <w:t>Permission denial stages may be entitlement, identity, roles, object, record, field, action, or context.</w:t>
      </w:r>
    </w:p>
    <w:p>
      <w:pPr>
        <w:pStyle w:val="ListBullet"/>
        <w:spacing w:after="40"/>
      </w:pPr>
      <w:r>
        <w:t>Distinguish app_not_licensed, plan_tier_required, permission_denied, and not_authenticated.</w:t>
      </w:r>
    </w:p>
    <w:p>
      <w:pPr>
        <w:pStyle w:val="ListBullet"/>
        <w:spacing w:after="40"/>
      </w:pPr>
      <w:r>
        <w:t>Field-level redaction must be visible rather than silently removing a field.</w:t>
      </w:r>
    </w:p>
    <w:p>
      <w:pPr>
        <w:pStyle w:val="ListBullet"/>
        <w:spacing w:after="40"/>
      </w:pPr>
      <w:r>
        <w:t>Audit and access-denial surfaces are security-review experiences and should be easy to filter.</w:t>
      </w:r>
    </w:p>
    <w:p>
      <w:pPr>
        <w:pStyle w:val="Heading1"/>
      </w:pPr>
      <w:r>
        <w:t>8. UX and Design System Requirements</w:t>
      </w:r>
    </w:p>
    <w:p>
      <w:pPr>
        <w:pStyle w:val="Heading2"/>
      </w:pPr>
      <w:r>
        <w:t>8.1 Existing design foundation</w:t>
      </w:r>
    </w:p>
    <w:p>
      <w:r>
        <w:rPr>
          <w:b/>
          <w:color w:val="7C5A00"/>
        </w:rPr>
        <w:t xml:space="preserve">Source constraint: </w:t>
      </w:r>
      <w:r>
        <w:t>Use the existing Figma variables and design-token collections. Light and dark tokens exist. Any new token must be added to the same collections.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F2EE"/>
          </w:tcPr>
          <w:p>
            <w:r/>
            <w:r>
              <w:rPr>
                <w:b/>
                <w:sz w:val="17"/>
              </w:rPr>
              <w:t>Token family</w:t>
            </w:r>
          </w:p>
        </w:tc>
        <w:tc>
          <w:tcPr>
            <w:tcW w:type="dxa" w:w="3360"/>
            <w:vAlign w:val="center"/>
            <w:shd w:fill="E7F2EE"/>
          </w:tcPr>
          <w:p>
            <w:r/>
            <w:r>
              <w:rPr>
                <w:b/>
                <w:sz w:val="17"/>
              </w:rPr>
              <w:t>Source value / rule</w:t>
            </w:r>
          </w:p>
        </w:tc>
        <w:tc>
          <w:tcPr>
            <w:tcW w:type="dxa" w:w="3360"/>
            <w:vAlign w:val="center"/>
            <w:shd w:fill="E7F2EE"/>
          </w:tcPr>
          <w:p>
            <w:r/>
            <w:r>
              <w:rPr>
                <w:b/>
                <w:sz w:val="17"/>
              </w:rPr>
              <w:t>Usage</w:t>
            </w:r>
          </w:p>
        </w:tc>
      </w:tr>
      <w:tr>
        <w:tc>
          <w:tcPr>
            <w:tcW w:type="dxa" w:w="3360"/>
            <w:vAlign w:val="center"/>
          </w:tcPr>
          <w:p>
            <w:r/>
            <w:r>
              <w:rPr>
                <w:b w:val="0"/>
                <w:sz w:val="17"/>
              </w:rPr>
              <w:t>Brand Primary</w:t>
            </w:r>
          </w:p>
        </w:tc>
        <w:tc>
          <w:tcPr>
            <w:tcW w:type="dxa" w:w="3360"/>
            <w:vAlign w:val="center"/>
          </w:tcPr>
          <w:p>
            <w:r/>
            <w:r>
              <w:rPr>
                <w:b w:val="0"/>
                <w:sz w:val="17"/>
              </w:rPr>
              <w:t>#005840</w:t>
            </w:r>
          </w:p>
        </w:tc>
        <w:tc>
          <w:tcPr>
            <w:tcW w:type="dxa" w:w="3360"/>
            <w:vAlign w:val="center"/>
          </w:tcPr>
          <w:p>
            <w:r/>
            <w:r>
              <w:rPr>
                <w:b w:val="0"/>
                <w:sz w:val="17"/>
              </w:rPr>
              <w:t>Primary actions, active navigation, brand surfaces.</w:t>
            </w:r>
          </w:p>
        </w:tc>
      </w:tr>
      <w:tr>
        <w:tc>
          <w:tcPr>
            <w:tcW w:type="dxa" w:w="3360"/>
            <w:vAlign w:val="center"/>
          </w:tcPr>
          <w:p>
            <w:r/>
            <w:r>
              <w:rPr>
                <w:b w:val="0"/>
                <w:sz w:val="17"/>
              </w:rPr>
              <w:t>Brand Secondary</w:t>
            </w:r>
          </w:p>
        </w:tc>
        <w:tc>
          <w:tcPr>
            <w:tcW w:type="dxa" w:w="3360"/>
            <w:vAlign w:val="center"/>
          </w:tcPr>
          <w:p>
            <w:r/>
            <w:r>
              <w:rPr>
                <w:b w:val="0"/>
                <w:sz w:val="17"/>
              </w:rPr>
              <w:t>#D1F843</w:t>
            </w:r>
          </w:p>
        </w:tc>
        <w:tc>
          <w:tcPr>
            <w:tcW w:type="dxa" w:w="3360"/>
            <w:vAlign w:val="center"/>
          </w:tcPr>
          <w:p>
            <w:r/>
            <w:r>
              <w:rPr>
                <w:b w:val="0"/>
                <w:sz w:val="17"/>
              </w:rPr>
              <w:t>Accent/highlight/illustration only; never text on white or primary button text.</w:t>
            </w:r>
          </w:p>
        </w:tc>
      </w:tr>
      <w:tr>
        <w:tc>
          <w:tcPr>
            <w:tcW w:type="dxa" w:w="3360"/>
            <w:vAlign w:val="center"/>
          </w:tcPr>
          <w:p>
            <w:r/>
            <w:r>
              <w:rPr>
                <w:b w:val="0"/>
                <w:sz w:val="17"/>
              </w:rPr>
              <w:t>Neutral</w:t>
            </w:r>
          </w:p>
        </w:tc>
        <w:tc>
          <w:tcPr>
            <w:tcW w:type="dxa" w:w="3360"/>
            <w:vAlign w:val="center"/>
          </w:tcPr>
          <w:p>
            <w:r/>
            <w:r>
              <w:rPr>
                <w:b w:val="0"/>
                <w:sz w:val="17"/>
              </w:rPr>
              <w:t>#5E6273</w:t>
            </w:r>
          </w:p>
        </w:tc>
        <w:tc>
          <w:tcPr>
            <w:tcW w:type="dxa" w:w="3360"/>
            <w:vAlign w:val="center"/>
          </w:tcPr>
          <w:p>
            <w:r/>
            <w:r>
              <w:rPr>
                <w:b w:val="0"/>
                <w:sz w:val="17"/>
              </w:rPr>
              <w:t>Text, borders, surfaces across the neutral ramp.</w:t>
            </w:r>
          </w:p>
        </w:tc>
      </w:tr>
      <w:tr>
        <w:tc>
          <w:tcPr>
            <w:tcW w:type="dxa" w:w="3360"/>
            <w:vAlign w:val="center"/>
          </w:tcPr>
          <w:p>
            <w:r/>
            <w:r>
              <w:rPr>
                <w:b w:val="0"/>
                <w:sz w:val="17"/>
              </w:rPr>
              <w:t>Success</w:t>
            </w:r>
          </w:p>
        </w:tc>
        <w:tc>
          <w:tcPr>
            <w:tcW w:type="dxa" w:w="3360"/>
            <w:vAlign w:val="center"/>
          </w:tcPr>
          <w:p>
            <w:r/>
            <w:r>
              <w:rPr>
                <w:b w:val="0"/>
                <w:sz w:val="17"/>
              </w:rPr>
              <w:t>#10B981</w:t>
            </w:r>
          </w:p>
        </w:tc>
        <w:tc>
          <w:tcPr>
            <w:tcW w:type="dxa" w:w="3360"/>
            <w:vAlign w:val="center"/>
          </w:tcPr>
          <w:p>
            <w:r/>
            <w:r>
              <w:rPr>
                <w:b w:val="0"/>
                <w:sz w:val="17"/>
              </w:rPr>
              <w:t>Paid, cleared, resolved, verified.</w:t>
            </w:r>
          </w:p>
        </w:tc>
      </w:tr>
      <w:tr>
        <w:tc>
          <w:tcPr>
            <w:tcW w:type="dxa" w:w="3360"/>
            <w:vAlign w:val="center"/>
          </w:tcPr>
          <w:p>
            <w:r/>
            <w:r>
              <w:rPr>
                <w:b w:val="0"/>
                <w:sz w:val="17"/>
              </w:rPr>
              <w:t>Warning</w:t>
            </w:r>
          </w:p>
        </w:tc>
        <w:tc>
          <w:tcPr>
            <w:tcW w:type="dxa" w:w="3360"/>
            <w:vAlign w:val="center"/>
          </w:tcPr>
          <w:p>
            <w:r/>
            <w:r>
              <w:rPr>
                <w:b w:val="0"/>
                <w:sz w:val="17"/>
              </w:rPr>
              <w:t>#F59E0B</w:t>
            </w:r>
          </w:p>
        </w:tc>
        <w:tc>
          <w:tcPr>
            <w:tcW w:type="dxa" w:w="3360"/>
            <w:vAlign w:val="center"/>
          </w:tcPr>
          <w:p>
            <w:r/>
            <w:r>
              <w:rPr>
                <w:b w:val="0"/>
                <w:sz w:val="17"/>
              </w:rPr>
              <w:t>Pending, upcoming, unverified.</w:t>
            </w:r>
          </w:p>
        </w:tc>
      </w:tr>
      <w:tr>
        <w:tc>
          <w:tcPr>
            <w:tcW w:type="dxa" w:w="3360"/>
            <w:vAlign w:val="center"/>
          </w:tcPr>
          <w:p>
            <w:r/>
            <w:r>
              <w:rPr>
                <w:b w:val="0"/>
                <w:sz w:val="17"/>
              </w:rPr>
              <w:t>Error</w:t>
            </w:r>
          </w:p>
        </w:tc>
        <w:tc>
          <w:tcPr>
            <w:tcW w:type="dxa" w:w="3360"/>
            <w:vAlign w:val="center"/>
          </w:tcPr>
          <w:p>
            <w:r/>
            <w:r>
              <w:rPr>
                <w:b w:val="0"/>
                <w:sz w:val="17"/>
              </w:rPr>
              <w:t>#EF4444</w:t>
            </w:r>
          </w:p>
        </w:tc>
        <w:tc>
          <w:tcPr>
            <w:tcW w:type="dxa" w:w="3360"/>
            <w:vAlign w:val="center"/>
          </w:tcPr>
          <w:p>
            <w:r/>
            <w:r>
              <w:rPr>
                <w:b w:val="0"/>
                <w:sz w:val="17"/>
              </w:rPr>
              <w:t>Failed, rejected, overdue, denied.</w:t>
            </w:r>
          </w:p>
        </w:tc>
      </w:tr>
      <w:tr>
        <w:tc>
          <w:tcPr>
            <w:tcW w:type="dxa" w:w="3360"/>
            <w:vAlign w:val="center"/>
          </w:tcPr>
          <w:p>
            <w:r/>
            <w:r>
              <w:rPr>
                <w:b w:val="0"/>
                <w:sz w:val="17"/>
              </w:rPr>
              <w:t>Info</w:t>
            </w:r>
          </w:p>
        </w:tc>
        <w:tc>
          <w:tcPr>
            <w:tcW w:type="dxa" w:w="3360"/>
            <w:vAlign w:val="center"/>
          </w:tcPr>
          <w:p>
            <w:r/>
            <w:r>
              <w:rPr>
                <w:b w:val="0"/>
                <w:sz w:val="17"/>
              </w:rPr>
              <w:t>#3B82F6</w:t>
            </w:r>
          </w:p>
        </w:tc>
        <w:tc>
          <w:tcPr>
            <w:tcW w:type="dxa" w:w="3360"/>
            <w:vAlign w:val="center"/>
          </w:tcPr>
          <w:p>
            <w:r/>
            <w:r>
              <w:rPr>
                <w:b w:val="0"/>
                <w:sz w:val="17"/>
              </w:rPr>
              <w:t>Draft, new, informational.</w:t>
            </w:r>
          </w:p>
        </w:tc>
      </w:tr>
      <w:tr>
        <w:tc>
          <w:tcPr>
            <w:tcW w:type="dxa" w:w="3360"/>
            <w:vAlign w:val="center"/>
          </w:tcPr>
          <w:p>
            <w:r/>
            <w:r>
              <w:rPr>
                <w:b w:val="0"/>
                <w:sz w:val="17"/>
              </w:rPr>
              <w:t>Typography</w:t>
            </w:r>
          </w:p>
        </w:tc>
        <w:tc>
          <w:tcPr>
            <w:tcW w:type="dxa" w:w="3360"/>
            <w:vAlign w:val="center"/>
          </w:tcPr>
          <w:p>
            <w:r/>
            <w:r>
              <w:rPr>
                <w:b w:val="0"/>
                <w:sz w:val="17"/>
              </w:rPr>
              <w:t>Inter or Nunito Sans must be chosen; do not ship both</w:t>
            </w:r>
          </w:p>
        </w:tc>
        <w:tc>
          <w:tcPr>
            <w:tcW w:type="dxa" w:w="3360"/>
            <w:vAlign w:val="center"/>
          </w:tcPr>
          <w:p>
            <w:r/>
            <w:r>
              <w:rPr>
                <w:b w:val="0"/>
                <w:sz w:val="17"/>
              </w:rPr>
              <w:t>Primary product typeface.</w:t>
            </w:r>
          </w:p>
        </w:tc>
      </w:tr>
      <w:tr>
        <w:tc>
          <w:tcPr>
            <w:tcW w:type="dxa" w:w="3360"/>
            <w:vAlign w:val="center"/>
          </w:tcPr>
          <w:p>
            <w:r/>
            <w:r>
              <w:rPr>
                <w:b w:val="0"/>
                <w:sz w:val="17"/>
              </w:rPr>
              <w:t>Monospace</w:t>
            </w:r>
          </w:p>
        </w:tc>
        <w:tc>
          <w:tcPr>
            <w:tcW w:type="dxa" w:w="3360"/>
            <w:vAlign w:val="center"/>
          </w:tcPr>
          <w:p>
            <w:r/>
            <w:r>
              <w:rPr>
                <w:b w:val="0"/>
                <w:sz w:val="17"/>
              </w:rPr>
              <w:t>Geist Mono / JetBrains Mono</w:t>
            </w:r>
          </w:p>
        </w:tc>
        <w:tc>
          <w:tcPr>
            <w:tcW w:type="dxa" w:w="3360"/>
            <w:vAlign w:val="center"/>
          </w:tcPr>
          <w:p>
            <w:r/>
            <w:r>
              <w:rPr>
                <w:b w:val="0"/>
                <w:sz w:val="17"/>
              </w:rPr>
              <w:t>IDs, error codes, amounts in tables, DSL editor.</w:t>
            </w:r>
          </w:p>
        </w:tc>
      </w:tr>
      <w:tr>
        <w:tc>
          <w:tcPr>
            <w:tcW w:type="dxa" w:w="3360"/>
            <w:vAlign w:val="center"/>
          </w:tcPr>
          <w:p>
            <w:r/>
            <w:r>
              <w:rPr>
                <w:b w:val="0"/>
                <w:sz w:val="17"/>
              </w:rPr>
              <w:t>Type scale</w:t>
            </w:r>
          </w:p>
        </w:tc>
        <w:tc>
          <w:tcPr>
            <w:tcW w:type="dxa" w:w="3360"/>
            <w:vAlign w:val="center"/>
          </w:tcPr>
          <w:p>
            <w:r/>
            <w:r>
              <w:rPr>
                <w:b w:val="0"/>
                <w:sz w:val="17"/>
              </w:rPr>
              <w:t>12/14/16/18/20/24/30/36/48…</w:t>
            </w:r>
          </w:p>
        </w:tc>
        <w:tc>
          <w:tcPr>
            <w:tcW w:type="dxa" w:w="3360"/>
            <w:vAlign w:val="center"/>
          </w:tcPr>
          <w:p>
            <w:r/>
            <w:r>
              <w:rPr>
                <w:b w:val="0"/>
                <w:sz w:val="17"/>
              </w:rPr>
              <w:t>Do not introduce off-scale sizes.</w:t>
            </w:r>
          </w:p>
        </w:tc>
      </w:tr>
    </w:tbl>
    <w:p/>
    <w:p>
      <w:pPr>
        <w:pStyle w:val="Heading2"/>
      </w:pPr>
      <w:r>
        <w:t>8.2 Existing coded components</w:t>
      </w:r>
    </w:p>
    <w:p>
      <w:pPr>
        <w:pStyle w:val="ListBullet"/>
        <w:spacing w:after="40"/>
      </w:pPr>
      <w:r>
        <w:t>Alert, Button, Card, Field, Input, Input Group, OTP Input, Label, Popover, Separator, Spinner, Textarea, Calendar and wrapped input types already exist.</w:t>
      </w:r>
    </w:p>
    <w:p>
      <w:pPr>
        <w:pStyle w:val="ListBullet"/>
        <w:spacing w:after="40"/>
      </w:pPr>
      <w:r>
        <w:t>These should be matched in Figma and not redesigned into parallel variants without an explicit product/engineering decision.</w:t>
      </w:r>
    </w:p>
    <w:p>
      <w:pPr>
        <w:pStyle w:val="Heading2"/>
      </w:pPr>
      <w:r>
        <w:t>8.3 Components to build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F2EE"/>
          </w:tcPr>
          <w:p>
            <w:r/>
            <w:r>
              <w:rPr>
                <w:b/>
                <w:sz w:val="17"/>
              </w:rPr>
              <w:t>Component</w:t>
            </w:r>
          </w:p>
        </w:tc>
        <w:tc>
          <w:tcPr>
            <w:tcW w:type="dxa" w:w="5040"/>
            <w:vAlign w:val="center"/>
            <w:shd w:fill="E7F2EE"/>
          </w:tcPr>
          <w:p>
            <w:r/>
            <w:r>
              <w:rPr>
                <w:b/>
                <w:sz w:val="17"/>
              </w:rPr>
              <w:t>Required variants / behavior</w:t>
            </w:r>
          </w:p>
        </w:tc>
      </w:tr>
      <w:tr>
        <w:tc>
          <w:tcPr>
            <w:tcW w:type="dxa" w:w="5040"/>
            <w:vAlign w:val="center"/>
          </w:tcPr>
          <w:p>
            <w:r/>
            <w:r>
              <w:rPr>
                <w:b w:val="0"/>
                <w:sz w:val="17"/>
              </w:rPr>
              <w:t>Data table</w:t>
            </w:r>
          </w:p>
        </w:tc>
        <w:tc>
          <w:tcPr>
            <w:tcW w:type="dxa" w:w="5040"/>
            <w:vAlign w:val="center"/>
          </w:tcPr>
          <w:p>
            <w:r/>
            <w:r>
              <w:rPr>
                <w:b w:val="0"/>
                <w:sz w:val="17"/>
              </w:rPr>
              <w:t>Sortable header, row hover, selected, expandable, sticky header, column resize, empty, loading skeleton.</w:t>
            </w:r>
          </w:p>
        </w:tc>
      </w:tr>
      <w:tr>
        <w:tc>
          <w:tcPr>
            <w:tcW w:type="dxa" w:w="5040"/>
            <w:vAlign w:val="center"/>
          </w:tcPr>
          <w:p>
            <w:r/>
            <w:r>
              <w:rPr>
                <w:b w:val="0"/>
                <w:sz w:val="17"/>
              </w:rPr>
              <w:t>Status pill</w:t>
            </w:r>
          </w:p>
        </w:tc>
        <w:tc>
          <w:tcPr>
            <w:tcW w:type="dxa" w:w="5040"/>
            <w:vAlign w:val="center"/>
          </w:tcPr>
          <w:p>
            <w:r/>
            <w:r>
              <w:rPr>
                <w:b w:val="0"/>
                <w:sz w:val="17"/>
              </w:rPr>
              <w:t>Semantic colors with icon and text.</w:t>
            </w:r>
          </w:p>
        </w:tc>
      </w:tr>
      <w:tr>
        <w:tc>
          <w:tcPr>
            <w:tcW w:type="dxa" w:w="5040"/>
            <w:vAlign w:val="center"/>
          </w:tcPr>
          <w:p>
            <w:r/>
            <w:r>
              <w:rPr>
                <w:b w:val="0"/>
                <w:sz w:val="17"/>
              </w:rPr>
              <w:t>Pagination</w:t>
            </w:r>
          </w:p>
        </w:tc>
        <w:tc>
          <w:tcPr>
            <w:tcW w:type="dxa" w:w="5040"/>
            <w:vAlign w:val="center"/>
          </w:tcPr>
          <w:p>
            <w:r/>
            <w:r>
              <w:rPr>
                <w:b w:val="0"/>
                <w:sz w:val="17"/>
              </w:rPr>
              <w:t>Numbered pager, page-size selector, range label.</w:t>
            </w:r>
          </w:p>
        </w:tc>
      </w:tr>
      <w:tr>
        <w:tc>
          <w:tcPr>
            <w:tcW w:type="dxa" w:w="5040"/>
            <w:vAlign w:val="center"/>
          </w:tcPr>
          <w:p>
            <w:r/>
            <w:r>
              <w:rPr>
                <w:b w:val="0"/>
                <w:sz w:val="17"/>
              </w:rPr>
              <w:t>Tabs</w:t>
            </w:r>
          </w:p>
        </w:tc>
        <w:tc>
          <w:tcPr>
            <w:tcW w:type="dxa" w:w="5040"/>
            <w:vAlign w:val="center"/>
          </w:tcPr>
          <w:p>
            <w:r/>
            <w:r>
              <w:rPr>
                <w:b w:val="0"/>
                <w:sz w:val="17"/>
              </w:rPr>
              <w:t>Underline and segmented.</w:t>
            </w:r>
          </w:p>
        </w:tc>
      </w:tr>
      <w:tr>
        <w:tc>
          <w:tcPr>
            <w:tcW w:type="dxa" w:w="5040"/>
            <w:vAlign w:val="center"/>
          </w:tcPr>
          <w:p>
            <w:r/>
            <w:r>
              <w:rPr>
                <w:b w:val="0"/>
                <w:sz w:val="17"/>
              </w:rPr>
              <w:t>Dialog</w:t>
            </w:r>
          </w:p>
        </w:tc>
        <w:tc>
          <w:tcPr>
            <w:tcW w:type="dxa" w:w="5040"/>
            <w:vAlign w:val="center"/>
          </w:tcPr>
          <w:p>
            <w:r/>
            <w:r>
              <w:rPr>
                <w:b w:val="0"/>
                <w:sz w:val="17"/>
              </w:rPr>
              <w:t>Default, destructive-confirm, typed-confirm.</w:t>
            </w:r>
          </w:p>
        </w:tc>
      </w:tr>
      <w:tr>
        <w:tc>
          <w:tcPr>
            <w:tcW w:type="dxa" w:w="5040"/>
            <w:vAlign w:val="center"/>
          </w:tcPr>
          <w:p>
            <w:r/>
            <w:r>
              <w:rPr>
                <w:b w:val="0"/>
                <w:sz w:val="17"/>
              </w:rPr>
              <w:t>Sheet/drawer</w:t>
            </w:r>
          </w:p>
        </w:tc>
        <w:tc>
          <w:tcPr>
            <w:tcW w:type="dxa" w:w="5040"/>
            <w:vAlign w:val="center"/>
          </w:tcPr>
          <w:p>
            <w:r/>
            <w:r>
              <w:rPr>
                <w:b w:val="0"/>
                <w:sz w:val="17"/>
              </w:rPr>
              <w:t>Right panel, small/medium/large.</w:t>
            </w:r>
          </w:p>
        </w:tc>
      </w:tr>
      <w:tr>
        <w:tc>
          <w:tcPr>
            <w:tcW w:type="dxa" w:w="5040"/>
            <w:vAlign w:val="center"/>
          </w:tcPr>
          <w:p>
            <w:r/>
            <w:r>
              <w:rPr>
                <w:b w:val="0"/>
                <w:sz w:val="17"/>
              </w:rPr>
              <w:t>Dropdown menu</w:t>
            </w:r>
          </w:p>
        </w:tc>
        <w:tc>
          <w:tcPr>
            <w:tcW w:type="dxa" w:w="5040"/>
            <w:vAlign w:val="center"/>
          </w:tcPr>
          <w:p>
            <w:r/>
            <w:r>
              <w:rPr>
                <w:b w:val="0"/>
                <w:sz w:val="17"/>
              </w:rPr>
              <w:t>Icons, destructive item, submenu, keyboard navigation.</w:t>
            </w:r>
          </w:p>
        </w:tc>
      </w:tr>
      <w:tr>
        <w:tc>
          <w:tcPr>
            <w:tcW w:type="dxa" w:w="5040"/>
            <w:vAlign w:val="center"/>
          </w:tcPr>
          <w:p>
            <w:r/>
            <w:r>
              <w:rPr>
                <w:b w:val="0"/>
                <w:sz w:val="17"/>
              </w:rPr>
              <w:t>Combobox/select</w:t>
            </w:r>
          </w:p>
        </w:tc>
        <w:tc>
          <w:tcPr>
            <w:tcW w:type="dxa" w:w="5040"/>
            <w:vAlign w:val="center"/>
          </w:tcPr>
          <w:p>
            <w:r/>
            <w:r>
              <w:rPr>
                <w:b w:val="0"/>
                <w:sz w:val="17"/>
              </w:rPr>
              <w:t>Single, multi, async search, create-new.</w:t>
            </w:r>
          </w:p>
        </w:tc>
      </w:tr>
      <w:tr>
        <w:tc>
          <w:tcPr>
            <w:tcW w:type="dxa" w:w="5040"/>
            <w:vAlign w:val="center"/>
          </w:tcPr>
          <w:p>
            <w:r/>
            <w:r>
              <w:rPr>
                <w:b w:val="0"/>
                <w:sz w:val="17"/>
              </w:rPr>
              <w:t>Command palette</w:t>
            </w:r>
          </w:p>
        </w:tc>
        <w:tc>
          <w:tcPr>
            <w:tcW w:type="dxa" w:w="5040"/>
            <w:vAlign w:val="center"/>
          </w:tcPr>
          <w:p>
            <w:r/>
            <w:r>
              <w:rPr>
                <w:b w:val="0"/>
                <w:sz w:val="17"/>
              </w:rPr>
              <w:t>Grouped results, keyboard navigation, recent.</w:t>
            </w:r>
          </w:p>
        </w:tc>
      </w:tr>
      <w:tr>
        <w:tc>
          <w:tcPr>
            <w:tcW w:type="dxa" w:w="5040"/>
            <w:vAlign w:val="center"/>
          </w:tcPr>
          <w:p>
            <w:r/>
            <w:r>
              <w:rPr>
                <w:b w:val="0"/>
                <w:sz w:val="17"/>
              </w:rPr>
              <w:t>Toast</w:t>
            </w:r>
          </w:p>
        </w:tc>
        <w:tc>
          <w:tcPr>
            <w:tcW w:type="dxa" w:w="5040"/>
            <w:vAlign w:val="center"/>
          </w:tcPr>
          <w:p>
            <w:r/>
            <w:r>
              <w:rPr>
                <w:b w:val="0"/>
                <w:sz w:val="17"/>
              </w:rPr>
              <w:t>Success, error, loading, undo.</w:t>
            </w:r>
          </w:p>
        </w:tc>
      </w:tr>
      <w:tr>
        <w:tc>
          <w:tcPr>
            <w:tcW w:type="dxa" w:w="5040"/>
            <w:vAlign w:val="center"/>
          </w:tcPr>
          <w:p>
            <w:r/>
            <w:r>
              <w:rPr>
                <w:b w:val="0"/>
                <w:sz w:val="17"/>
              </w:rPr>
              <w:t>Badge/counter</w:t>
            </w:r>
          </w:p>
        </w:tc>
        <w:tc>
          <w:tcPr>
            <w:tcW w:type="dxa" w:w="5040"/>
            <w:vAlign w:val="center"/>
          </w:tcPr>
          <w:p>
            <w:r/>
            <w:r>
              <w:rPr>
                <w:b w:val="0"/>
                <w:sz w:val="17"/>
              </w:rPr>
              <w:t>Count, dot, max-99+.</w:t>
            </w:r>
          </w:p>
        </w:tc>
      </w:tr>
      <w:tr>
        <w:tc>
          <w:tcPr>
            <w:tcW w:type="dxa" w:w="5040"/>
            <w:vAlign w:val="center"/>
          </w:tcPr>
          <w:p>
            <w:r/>
            <w:r>
              <w:rPr>
                <w:b w:val="0"/>
                <w:sz w:val="17"/>
              </w:rPr>
              <w:t>Avatar</w:t>
            </w:r>
          </w:p>
        </w:tc>
        <w:tc>
          <w:tcPr>
            <w:tcW w:type="dxa" w:w="5040"/>
            <w:vAlign w:val="center"/>
          </w:tcPr>
          <w:p>
            <w:r/>
            <w:r>
              <w:rPr>
                <w:b w:val="0"/>
                <w:sz w:val="17"/>
              </w:rPr>
              <w:t>User, organization, initials fallback, stacked group.</w:t>
            </w:r>
          </w:p>
        </w:tc>
      </w:tr>
      <w:tr>
        <w:tc>
          <w:tcPr>
            <w:tcW w:type="dxa" w:w="5040"/>
            <w:vAlign w:val="center"/>
          </w:tcPr>
          <w:p>
            <w:r/>
            <w:r>
              <w:rPr>
                <w:b w:val="0"/>
                <w:sz w:val="17"/>
              </w:rPr>
              <w:t>Breadcrumb</w:t>
            </w:r>
          </w:p>
        </w:tc>
        <w:tc>
          <w:tcPr>
            <w:tcW w:type="dxa" w:w="5040"/>
            <w:vAlign w:val="center"/>
          </w:tcPr>
          <w:p>
            <w:r/>
            <w:r>
              <w:rPr>
                <w:b w:val="0"/>
                <w:sz w:val="17"/>
              </w:rPr>
              <w:t>Overflow collapse.</w:t>
            </w:r>
          </w:p>
        </w:tc>
      </w:tr>
      <w:tr>
        <w:tc>
          <w:tcPr>
            <w:tcW w:type="dxa" w:w="5040"/>
            <w:vAlign w:val="center"/>
          </w:tcPr>
          <w:p>
            <w:r/>
            <w:r>
              <w:rPr>
                <w:b w:val="0"/>
                <w:sz w:val="17"/>
              </w:rPr>
              <w:t>Tooltip</w:t>
            </w:r>
          </w:p>
        </w:tc>
        <w:tc>
          <w:tcPr>
            <w:tcW w:type="dxa" w:w="5040"/>
            <w:vAlign w:val="center"/>
          </w:tcPr>
          <w:p>
            <w:r/>
            <w:r>
              <w:rPr>
                <w:b w:val="0"/>
                <w:sz w:val="17"/>
              </w:rPr>
              <w:t>Text and keyboard shortcut.</w:t>
            </w:r>
          </w:p>
        </w:tc>
      </w:tr>
      <w:tr>
        <w:tc>
          <w:tcPr>
            <w:tcW w:type="dxa" w:w="5040"/>
            <w:vAlign w:val="center"/>
          </w:tcPr>
          <w:p>
            <w:r/>
            <w:r>
              <w:rPr>
                <w:b w:val="0"/>
                <w:sz w:val="17"/>
              </w:rPr>
              <w:t>Skeleton</w:t>
            </w:r>
          </w:p>
        </w:tc>
        <w:tc>
          <w:tcPr>
            <w:tcW w:type="dxa" w:w="5040"/>
            <w:vAlign w:val="center"/>
          </w:tcPr>
          <w:p>
            <w:r/>
            <w:r>
              <w:rPr>
                <w:b w:val="0"/>
                <w:sz w:val="17"/>
              </w:rPr>
              <w:t>Text, row, card, chart.</w:t>
            </w:r>
          </w:p>
        </w:tc>
      </w:tr>
      <w:tr>
        <w:tc>
          <w:tcPr>
            <w:tcW w:type="dxa" w:w="5040"/>
            <w:vAlign w:val="center"/>
          </w:tcPr>
          <w:p>
            <w:r/>
            <w:r>
              <w:rPr>
                <w:b w:val="0"/>
                <w:sz w:val="17"/>
              </w:rPr>
              <w:t>Empty state</w:t>
            </w:r>
          </w:p>
        </w:tc>
        <w:tc>
          <w:tcPr>
            <w:tcW w:type="dxa" w:w="5040"/>
            <w:vAlign w:val="center"/>
          </w:tcPr>
          <w:p>
            <w:r/>
            <w:r>
              <w:rPr>
                <w:b w:val="0"/>
                <w:sz w:val="17"/>
              </w:rPr>
              <w:t>First-run, no-results, error, permission-denied, upgrade-required.</w:t>
            </w:r>
          </w:p>
        </w:tc>
      </w:tr>
      <w:tr>
        <w:tc>
          <w:tcPr>
            <w:tcW w:type="dxa" w:w="5040"/>
            <w:vAlign w:val="center"/>
          </w:tcPr>
          <w:p>
            <w:r/>
            <w:r>
              <w:rPr>
                <w:b w:val="0"/>
                <w:sz w:val="17"/>
              </w:rPr>
              <w:t>File upload</w:t>
            </w:r>
          </w:p>
        </w:tc>
        <w:tc>
          <w:tcPr>
            <w:tcW w:type="dxa" w:w="5040"/>
            <w:vAlign w:val="center"/>
          </w:tcPr>
          <w:p>
            <w:r/>
            <w:r>
              <w:rPr>
                <w:b w:val="0"/>
                <w:sz w:val="17"/>
              </w:rPr>
              <w:t>Drop zone, progress, success, three failure modes.</w:t>
            </w:r>
          </w:p>
        </w:tc>
      </w:tr>
      <w:tr>
        <w:tc>
          <w:tcPr>
            <w:tcW w:type="dxa" w:w="5040"/>
            <w:vAlign w:val="center"/>
          </w:tcPr>
          <w:p>
            <w:r/>
            <w:r>
              <w:rPr>
                <w:b w:val="0"/>
                <w:sz w:val="17"/>
              </w:rPr>
              <w:t>Rich text editor</w:t>
            </w:r>
          </w:p>
        </w:tc>
        <w:tc>
          <w:tcPr>
            <w:tcW w:type="dxa" w:w="5040"/>
            <w:vAlign w:val="center"/>
          </w:tcPr>
          <w:p>
            <w:r/>
            <w:r>
              <w:rPr>
                <w:b w:val="0"/>
                <w:sz w:val="17"/>
              </w:rPr>
              <w:t>Toolbar, attachment, mention.</w:t>
            </w:r>
          </w:p>
        </w:tc>
      </w:tr>
      <w:tr>
        <w:tc>
          <w:tcPr>
            <w:tcW w:type="dxa" w:w="5040"/>
            <w:vAlign w:val="center"/>
          </w:tcPr>
          <w:p>
            <w:r/>
            <w:r>
              <w:rPr>
                <w:b w:val="0"/>
                <w:sz w:val="17"/>
              </w:rPr>
              <w:t>Stepper</w:t>
            </w:r>
          </w:p>
        </w:tc>
        <w:tc>
          <w:tcPr>
            <w:tcW w:type="dxa" w:w="5040"/>
            <w:vAlign w:val="center"/>
          </w:tcPr>
          <w:p>
            <w:r/>
            <w:r>
              <w:rPr>
                <w:b w:val="0"/>
                <w:sz w:val="17"/>
              </w:rPr>
              <w:t>Horizontal/vertical; completed/current/pending/skipped.</w:t>
            </w:r>
          </w:p>
        </w:tc>
      </w:tr>
      <w:tr>
        <w:tc>
          <w:tcPr>
            <w:tcW w:type="dxa" w:w="5040"/>
            <w:vAlign w:val="center"/>
          </w:tcPr>
          <w:p>
            <w:r/>
            <w:r>
              <w:rPr>
                <w:b w:val="0"/>
                <w:sz w:val="17"/>
              </w:rPr>
              <w:t>Code/DSL editor</w:t>
            </w:r>
          </w:p>
        </w:tc>
        <w:tc>
          <w:tcPr>
            <w:tcW w:type="dxa" w:w="5040"/>
            <w:vAlign w:val="center"/>
          </w:tcPr>
          <w:p>
            <w:r/>
            <w:r>
              <w:rPr>
                <w:b w:val="0"/>
                <w:sz w:val="17"/>
              </w:rPr>
              <w:t>Monospace, line numbers, inline errors.</w:t>
            </w:r>
          </w:p>
        </w:tc>
      </w:tr>
      <w:tr>
        <w:tc>
          <w:tcPr>
            <w:tcW w:type="dxa" w:w="5040"/>
            <w:vAlign w:val="center"/>
          </w:tcPr>
          <w:p>
            <w:r/>
            <w:r>
              <w:rPr>
                <w:b w:val="0"/>
                <w:sz w:val="17"/>
              </w:rPr>
              <w:t>Amount input/display</w:t>
            </w:r>
          </w:p>
        </w:tc>
        <w:tc>
          <w:tcPr>
            <w:tcW w:type="dxa" w:w="5040"/>
            <w:vAlign w:val="center"/>
          </w:tcPr>
          <w:p>
            <w:r/>
            <w:r>
              <w:rPr>
                <w:b w:val="0"/>
                <w:sz w:val="17"/>
              </w:rPr>
              <w:t>Currency prefix, minor-unit handling, right-aligned monospace display.</w:t>
            </w:r>
          </w:p>
        </w:tc>
      </w:tr>
      <w:tr>
        <w:tc>
          <w:tcPr>
            <w:tcW w:type="dxa" w:w="5040"/>
            <w:vAlign w:val="center"/>
          </w:tcPr>
          <w:p>
            <w:r/>
            <w:r>
              <w:rPr>
                <w:b w:val="0"/>
                <w:sz w:val="17"/>
              </w:rPr>
              <w:t>Timeline</w:t>
            </w:r>
          </w:p>
        </w:tc>
        <w:tc>
          <w:tcPr>
            <w:tcW w:type="dxa" w:w="5040"/>
            <w:vAlign w:val="center"/>
          </w:tcPr>
          <w:p>
            <w:r/>
            <w:r>
              <w:rPr>
                <w:b w:val="0"/>
                <w:sz w:val="17"/>
              </w:rPr>
              <w:t>Activity item, grouped by day, actor.</w:t>
            </w:r>
          </w:p>
        </w:tc>
      </w:tr>
      <w:tr>
        <w:tc>
          <w:tcPr>
            <w:tcW w:type="dxa" w:w="5040"/>
            <w:vAlign w:val="center"/>
          </w:tcPr>
          <w:p>
            <w:r/>
            <w:r>
              <w:rPr>
                <w:b w:val="0"/>
                <w:sz w:val="17"/>
              </w:rPr>
              <w:t>Filter rail</w:t>
            </w:r>
          </w:p>
        </w:tc>
        <w:tc>
          <w:tcPr>
            <w:tcW w:type="dxa" w:w="5040"/>
            <w:vAlign w:val="center"/>
          </w:tcPr>
          <w:p>
            <w:r/>
            <w:r>
              <w:rPr>
                <w:b w:val="0"/>
                <w:sz w:val="17"/>
              </w:rPr>
              <w:t>Collapsible groups, applied-filter chips, clear all.</w:t>
            </w:r>
          </w:p>
        </w:tc>
      </w:tr>
      <w:tr>
        <w:tc>
          <w:tcPr>
            <w:tcW w:type="dxa" w:w="5040"/>
            <w:vAlign w:val="center"/>
          </w:tcPr>
          <w:p>
            <w:r/>
            <w:r>
              <w:rPr>
                <w:b w:val="0"/>
                <w:sz w:val="17"/>
              </w:rPr>
              <w:t>App switcher</w:t>
            </w:r>
          </w:p>
        </w:tc>
        <w:tc>
          <w:tcPr>
            <w:tcW w:type="dxa" w:w="5040"/>
            <w:vAlign w:val="center"/>
          </w:tcPr>
          <w:p>
            <w:r/>
            <w:r>
              <w:rPr>
                <w:b w:val="0"/>
                <w:sz w:val="17"/>
              </w:rPr>
              <w:t>Entitled and locked-with-upgrade.</w:t>
            </w:r>
          </w:p>
        </w:tc>
      </w:tr>
      <w:tr>
        <w:tc>
          <w:tcPr>
            <w:tcW w:type="dxa" w:w="5040"/>
            <w:vAlign w:val="center"/>
          </w:tcPr>
          <w:p>
            <w:r/>
            <w:r>
              <w:rPr>
                <w:b w:val="0"/>
                <w:sz w:val="17"/>
              </w:rPr>
              <w:t>Navigation sidebar</w:t>
            </w:r>
          </w:p>
        </w:tc>
        <w:tc>
          <w:tcPr>
            <w:tcW w:type="dxa" w:w="5040"/>
            <w:vAlign w:val="center"/>
          </w:tcPr>
          <w:p>
            <w:r/>
            <w:r>
              <w:rPr>
                <w:b w:val="0"/>
                <w:sz w:val="17"/>
              </w:rPr>
              <w:t>Expanded, collapsed, two-level, active state.</w:t>
            </w:r>
          </w:p>
        </w:tc>
      </w:tr>
    </w:tbl>
    <w:p/>
    <w:p>
      <w:r>
        <w:rPr>
          <w:b/>
          <w:color w:val="7C5A00"/>
        </w:rPr>
        <w:t xml:space="preserve">Source constraint: </w:t>
      </w:r>
      <w:r>
        <w:t>Build the data table, status pill, empty state and dialog first because they unblock the largest number of screens.</w:t>
      </w:r>
    </w:p>
    <w:p>
      <w:pPr>
        <w:pStyle w:val="Heading1"/>
      </w:pPr>
      <w:r>
        <w:t>9. Cross-Cutting Product Contracts</w:t>
      </w:r>
    </w:p>
    <w:p>
      <w:pPr>
        <w:spacing w:after="40"/>
      </w:pPr>
      <w:r>
        <w:rPr>
          <w:b/>
          <w:color w:val="005840"/>
        </w:rPr>
        <w:t>UX-001 — Response envelope [P0]</w:t>
      </w:r>
    </w:p>
    <w:p>
      <w:r>
        <w:t>Design surfaces against the shared endpoint envelope: success, message, data, error and meta. Meta may include trace_id, module, timestamp and pagination.</w:t>
      </w:r>
    </w:p>
    <w:p>
      <w:pPr>
        <w:ind w:left="288"/>
      </w:pPr>
      <w:r>
        <w:rPr>
          <w:b/>
        </w:rPr>
        <w:t xml:space="preserve">Acceptance: </w:t>
      </w:r>
      <w:r>
        <w:t>Error surfaces provide access to trace_id for support.</w:t>
      </w:r>
    </w:p>
    <w:p>
      <w:pPr>
        <w:spacing w:after="40"/>
      </w:pPr>
      <w:r>
        <w:rPr>
          <w:b/>
          <w:color w:val="005840"/>
        </w:rPr>
        <w:t>UX-002 — Error taxonomy [P0]</w:t>
      </w:r>
    </w:p>
    <w:p>
      <w:r>
        <w:t>Validation errors are inline at field level; bad requests are form-level; not-found uses an empty state; conflicts use a blocking decision dialog; unauthorized preserves return path; forbidden uses permission treatment; payment-required uses upgrade treatment; rate limits use retryable banners; service unavailable keeps user input; internal errors show trace_id and copy action.</w:t>
      </w:r>
    </w:p>
    <w:p>
      <w:pPr>
        <w:ind w:left="288"/>
      </w:pPr>
      <w:r>
        <w:rPr>
          <w:b/>
        </w:rPr>
        <w:t xml:space="preserve">Acceptance: </w:t>
      </w:r>
      <w:r>
        <w:t>Each API error category maps to the specified UI treatment.</w:t>
      </w:r>
    </w:p>
    <w:p>
      <w:pPr>
        <w:spacing w:after="40"/>
      </w:pPr>
      <w:r>
        <w:rPr>
          <w:b/>
          <w:color w:val="005840"/>
        </w:rPr>
        <w:t>UX-003 — Pagination [P1]</w:t>
      </w:r>
    </w:p>
    <w:p>
      <w:r>
        <w:t>Use numbered, page-based pagination. Do not use infinite scroll for ordinary lists. Bulk export is the stated keyset-pagination exception.</w:t>
      </w:r>
    </w:p>
    <w:p>
      <w:pPr>
        <w:ind w:left="288"/>
      </w:pPr>
      <w:r>
        <w:rPr>
          <w:b/>
        </w:rPr>
        <w:t xml:space="preserve">Acceptance: </w:t>
      </w:r>
      <w:r>
        <w:t>List screens expose page navigation and page size; record-list totals are not misrepresented when visibility filters reduce displayed rows.</w:t>
      </w:r>
    </w:p>
    <w:p>
      <w:pPr>
        <w:spacing w:after="40"/>
      </w:pPr>
      <w:r>
        <w:rPr>
          <w:b/>
          <w:color w:val="005840"/>
        </w:rPr>
        <w:t>UX-004 — Permission gating [P0]</w:t>
      </w:r>
    </w:p>
    <w:p>
      <w:r>
        <w:t>Resolve effective permissions before rendering actions. Hide impossible actions; disable conditional actions with reasons.</w:t>
      </w:r>
    </w:p>
    <w:p>
      <w:pPr>
        <w:ind w:left="288"/>
      </w:pPr>
      <w:r>
        <w:rPr>
          <w:b/>
        </w:rPr>
        <w:t xml:space="preserve">Acceptance: </w:t>
      </w:r>
      <w:r>
        <w:t>A user never reaches a generic wall after selecting an action that the UI could have gated.</w:t>
      </w:r>
    </w:p>
    <w:p>
      <w:pPr>
        <w:spacing w:after="40"/>
      </w:pPr>
      <w:r>
        <w:rPr>
          <w:b/>
          <w:color w:val="005840"/>
        </w:rPr>
        <w:t>UX-005 — Field redaction [P0]</w:t>
      </w:r>
    </w:p>
    <w:p>
      <w:r>
        <w:t>Represent fields stripped by the API with a lock/muted treatment rather than silently omitting them.</w:t>
      </w:r>
    </w:p>
    <w:p>
      <w:pPr>
        <w:ind w:left="288"/>
      </w:pPr>
      <w:r>
        <w:rPr>
          <w:b/>
        </w:rPr>
        <w:t xml:space="preserve">Acceptance: </w:t>
      </w:r>
      <w:r>
        <w:t>Redacted fields remain understandable without exposing restricted values.</w:t>
      </w:r>
    </w:p>
    <w:p>
      <w:pPr>
        <w:spacing w:after="40"/>
      </w:pPr>
      <w:r>
        <w:rPr>
          <w:b/>
          <w:color w:val="005840"/>
        </w:rPr>
        <w:t>UX-006 — Realtime [P1]</w:t>
      </w:r>
    </w:p>
    <w:p>
      <w:r>
        <w:t>Use SSE/WebSocket events without reordering content under the user's cursor. Surface toast, unread badge updates, or an 'N new items — refresh' bar.</w:t>
      </w:r>
    </w:p>
    <w:p>
      <w:pPr>
        <w:ind w:left="288"/>
      </w:pPr>
      <w:r>
        <w:rPr>
          <w:b/>
        </w:rPr>
        <w:t xml:space="preserve">Acceptance: </w:t>
      </w:r>
      <w:r>
        <w:t>Live arrivals are visible without disrupting the user's current reading position.</w:t>
      </w:r>
    </w:p>
    <w:p>
      <w:pPr>
        <w:spacing w:after="40"/>
      </w:pPr>
      <w:r>
        <w:rPr>
          <w:b/>
          <w:color w:val="005840"/>
        </w:rPr>
        <w:t>UX-007 — File upload [P1]</w:t>
      </w:r>
    </w:p>
    <w:p>
      <w:r>
        <w:t>Presigned uploads need distinct progress and failure states for presign, upload, and confirmation.</w:t>
      </w:r>
    </w:p>
    <w:p>
      <w:pPr>
        <w:ind w:left="288"/>
      </w:pPr>
      <w:r>
        <w:rPr>
          <w:b/>
        </w:rPr>
        <w:t xml:space="preserve">Acceptance: </w:t>
      </w:r>
      <w:r>
        <w:t>Each failure mode has an actionable recovery state.</w:t>
      </w:r>
    </w:p>
    <w:p>
      <w:pPr>
        <w:spacing w:after="40"/>
      </w:pPr>
      <w:r>
        <w:rPr>
          <w:b/>
          <w:color w:val="005840"/>
        </w:rPr>
        <w:t>UX-008 — Money [P0]</w:t>
      </w:r>
    </w:p>
    <w:p>
      <w:r>
        <w:t>API amounts are integer minor units with currency codes. UI must include currency affordances and right-align monetary values in monospace.</w:t>
      </w:r>
    </w:p>
    <w:p>
      <w:pPr>
        <w:ind w:left="288"/>
      </w:pPr>
      <w:r>
        <w:rPr>
          <w:b/>
        </w:rPr>
        <w:t xml:space="preserve">Acceptance: </w:t>
      </w:r>
      <w:r>
        <w:t>No monetary UI displays a bare number or relies on free-text currency ambiguity.</w:t>
      </w:r>
    </w:p>
    <w:p>
      <w:pPr>
        <w:pStyle w:val="Heading1"/>
      </w:pPr>
      <w:r>
        <w:t>10. Product Scope and Delivery Waves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F2EE"/>
          </w:tcPr>
          <w:p>
            <w:r/>
            <w:r>
              <w:rPr>
                <w:b/>
                <w:sz w:val="17"/>
              </w:rPr>
              <w:t>Wave</w:t>
            </w:r>
          </w:p>
        </w:tc>
        <w:tc>
          <w:tcPr>
            <w:tcW w:type="dxa" w:w="3360"/>
            <w:vAlign w:val="center"/>
            <w:shd w:fill="E7F2EE"/>
          </w:tcPr>
          <w:p>
            <w:r/>
            <w:r>
              <w:rPr>
                <w:b/>
                <w:sz w:val="17"/>
              </w:rPr>
              <w:t>Scope</w:t>
            </w:r>
          </w:p>
        </w:tc>
        <w:tc>
          <w:tcPr>
            <w:tcW w:type="dxa" w:w="3360"/>
            <w:vAlign w:val="center"/>
            <w:shd w:fill="E7F2EE"/>
          </w:tcPr>
          <w:p>
            <w:r/>
            <w:r>
              <w:rPr>
                <w:b/>
                <w:sz w:val="17"/>
              </w:rPr>
              <w:t>Purpose</w:t>
            </w:r>
          </w:p>
        </w:tc>
      </w:tr>
      <w:tr>
        <w:tc>
          <w:tcPr>
            <w:tcW w:type="dxa" w:w="3360"/>
            <w:vAlign w:val="center"/>
          </w:tcPr>
          <w:p>
            <w:r/>
            <w:r>
              <w:rPr>
                <w:b w:val="0"/>
                <w:sz w:val="17"/>
              </w:rPr>
              <w:t>Wave 1</w:t>
            </w:r>
          </w:p>
        </w:tc>
        <w:tc>
          <w:tcPr>
            <w:tcW w:type="dxa" w:w="3360"/>
            <w:vAlign w:val="center"/>
          </w:tcPr>
          <w:p>
            <w:r/>
            <w:r>
              <w:rPr>
                <w:b w:val="0"/>
                <w:sz w:val="17"/>
              </w:rPr>
              <w:t>Shell + VargID; Onboarding; VargNotify</w:t>
            </w:r>
          </w:p>
        </w:tc>
        <w:tc>
          <w:tcPr>
            <w:tcW w:type="dxa" w:w="3360"/>
            <w:vAlign w:val="center"/>
          </w:tcPr>
          <w:p>
            <w:r/>
            <w:r>
              <w:rPr>
                <w:b w:val="0"/>
                <w:sz w:val="17"/>
              </w:rPr>
              <w:t>Makes the product reachable and establishes the first-run experience and cross-cutting notifications.</w:t>
            </w:r>
          </w:p>
        </w:tc>
      </w:tr>
      <w:tr>
        <w:tc>
          <w:tcPr>
            <w:tcW w:type="dxa" w:w="3360"/>
            <w:vAlign w:val="center"/>
          </w:tcPr>
          <w:p>
            <w:r/>
            <w:r>
              <w:rPr>
                <w:b w:val="0"/>
                <w:sz w:val="17"/>
              </w:rPr>
              <w:t>Wave 2</w:t>
            </w:r>
          </w:p>
        </w:tc>
        <w:tc>
          <w:tcPr>
            <w:tcW w:type="dxa" w:w="3360"/>
            <w:vAlign w:val="center"/>
          </w:tcPr>
          <w:p>
            <w:r/>
            <w:r>
              <w:rPr>
                <w:b w:val="0"/>
                <w:sz w:val="17"/>
              </w:rPr>
              <w:t>VargCore Directory; VargCore Objects; VargBooks</w:t>
            </w:r>
          </w:p>
        </w:tc>
        <w:tc>
          <w:tcPr>
            <w:tcW w:type="dxa" w:w="3360"/>
            <w:vAlign w:val="center"/>
          </w:tcPr>
          <w:p>
            <w:r/>
            <w:r>
              <w:rPr>
                <w:b w:val="0"/>
                <w:sz w:val="17"/>
              </w:rPr>
              <w:t>Builds the shared data layer UI and first revenue-generating app.</w:t>
            </w:r>
          </w:p>
        </w:tc>
      </w:tr>
      <w:tr>
        <w:tc>
          <w:tcPr>
            <w:tcW w:type="dxa" w:w="3360"/>
            <w:vAlign w:val="center"/>
          </w:tcPr>
          <w:p>
            <w:r/>
            <w:r>
              <w:rPr>
                <w:b w:val="0"/>
                <w:sz w:val="17"/>
              </w:rPr>
              <w:t>Wave 3</w:t>
            </w:r>
          </w:p>
        </w:tc>
        <w:tc>
          <w:tcPr>
            <w:tcW w:type="dxa" w:w="3360"/>
            <w:vAlign w:val="center"/>
          </w:tcPr>
          <w:p>
            <w:r/>
            <w:r>
              <w:rPr>
                <w:b w:val="0"/>
                <w:sz w:val="17"/>
              </w:rPr>
              <w:t>VargDesk; VargMail; VargPay; VargTax; VargFlow</w:t>
            </w:r>
          </w:p>
        </w:tc>
        <w:tc>
          <w:tcPr>
            <w:tcW w:type="dxa" w:w="3360"/>
            <w:vAlign w:val="center"/>
          </w:tcPr>
          <w:p>
            <w:r/>
            <w:r>
              <w:rPr>
                <w:b w:val="0"/>
                <w:sz w:val="17"/>
              </w:rPr>
              <w:t>Adds high-density daily-use, money movement, compliance and cross-app workflows.</w:t>
            </w:r>
          </w:p>
        </w:tc>
      </w:tr>
      <w:tr>
        <w:tc>
          <w:tcPr>
            <w:tcW w:type="dxa" w:w="3360"/>
            <w:vAlign w:val="center"/>
          </w:tcPr>
          <w:p>
            <w:r/>
            <w:r>
              <w:rPr>
                <w:b w:val="0"/>
                <w:sz w:val="17"/>
              </w:rPr>
              <w:t>Wave 4</w:t>
            </w:r>
          </w:p>
        </w:tc>
        <w:tc>
          <w:tcPr>
            <w:tcW w:type="dxa" w:w="3360"/>
            <w:vAlign w:val="center"/>
          </w:tcPr>
          <w:p>
            <w:r/>
            <w:r>
              <w:rPr>
                <w:b w:val="0"/>
                <w:sz w:val="17"/>
              </w:rPr>
              <w:t>Access governance; VargHelp; Tenant Admin</w:t>
            </w:r>
          </w:p>
        </w:tc>
        <w:tc>
          <w:tcPr>
            <w:tcW w:type="dxa" w:w="3360"/>
            <w:vAlign w:val="center"/>
          </w:tcPr>
          <w:p>
            <w:r/>
            <w:r>
              <w:rPr>
                <w:b w:val="0"/>
                <w:sz w:val="17"/>
              </w:rPr>
              <w:t>Enterprise sales, support deflection and administrative long tail.</w:t>
            </w:r>
          </w:p>
        </w:tc>
      </w:tr>
    </w:tbl>
    <w:p/>
    <w:p>
      <w:pPr>
        <w:pStyle w:val="Heading1"/>
      </w:pPr>
      <w:r>
        <w:t>11. Functional Requirements — Wave 1</w:t>
      </w:r>
    </w:p>
    <w:p>
      <w:pPr>
        <w:pStyle w:val="Heading2"/>
      </w:pPr>
      <w:r>
        <w:t>11.1 VargID — Identity and Authentication</w:t>
      </w:r>
    </w:p>
    <w:p>
      <w:pPr>
        <w:spacing w:after="40"/>
      </w:pPr>
      <w:r>
        <w:rPr>
          <w:b/>
          <w:color w:val="005840"/>
        </w:rPr>
        <w:t>ID-001 — Sign-in [P0]</w:t>
      </w:r>
    </w:p>
    <w:p>
      <w:r>
        <w:t>Support email/password, OAuth provider start, and enterprise SSO. Enterprise SSO is tenant-specific and requires tenant identification before the identity-provider handoff.</w:t>
      </w:r>
    </w:p>
    <w:p>
      <w:pPr>
        <w:ind w:left="288"/>
      </w:pPr>
      <w:r>
        <w:rPr>
          <w:b/>
        </w:rPr>
        <w:t xml:space="preserve">Acceptance: </w:t>
      </w:r>
      <w:r>
        <w:t>User can authenticate through the supported path and return to the intended destination.</w:t>
      </w:r>
    </w:p>
    <w:p>
      <w:pPr>
        <w:spacing w:after="40"/>
      </w:pPr>
      <w:r>
        <w:rPr>
          <w:b/>
          <w:color w:val="005840"/>
        </w:rPr>
        <w:t>ID-002 — MFA challenge [P0]</w:t>
      </w:r>
    </w:p>
    <w:p>
      <w:r>
        <w:t>Use the existing OTP component for the MFA challenge. Support valid and invalid code states.</w:t>
      </w:r>
    </w:p>
    <w:p>
      <w:pPr>
        <w:ind w:left="288"/>
      </w:pPr>
      <w:r>
        <w:rPr>
          <w:b/>
        </w:rPr>
        <w:t xml:space="preserve">Acceptance: </w:t>
      </w:r>
      <w:r>
        <w:t>Valid MFA returns the user to the workspace; invalid codes are handled inline.</w:t>
      </w:r>
    </w:p>
    <w:p>
      <w:pPr>
        <w:spacing w:after="40"/>
      </w:pPr>
      <w:r>
        <w:rPr>
          <w:b/>
          <w:color w:val="005840"/>
        </w:rPr>
        <w:t>ID-003 — MFA enrolment [P0]</w:t>
      </w:r>
    </w:p>
    <w:p>
      <w:r>
        <w:t>Show TOTP QR, manual secret, and recovery codes exactly once. Require explicit confirmation that recovery codes were saved.</w:t>
      </w:r>
    </w:p>
    <w:p>
      <w:pPr>
        <w:ind w:left="288"/>
      </w:pPr>
      <w:r>
        <w:rPr>
          <w:b/>
        </w:rPr>
        <w:t xml:space="preserve">Acceptance: </w:t>
      </w:r>
      <w:r>
        <w:t>Recovery codes cannot be silently re-exposed and enrolment has a clear completion state.</w:t>
      </w:r>
    </w:p>
    <w:p>
      <w:pPr>
        <w:spacing w:after="40"/>
      </w:pPr>
      <w:r>
        <w:rPr>
          <w:b/>
          <w:color w:val="005840"/>
        </w:rPr>
        <w:t>ID-004 — Forced MFA [P0]</w:t>
      </w:r>
    </w:p>
    <w:p>
      <w:r>
        <w:t>If tenant policy requires MFA, the user cannot dismiss enrolment and proceed without completing it.</w:t>
      </w:r>
    </w:p>
    <w:p>
      <w:pPr>
        <w:ind w:left="288"/>
      </w:pPr>
      <w:r>
        <w:rPr>
          <w:b/>
        </w:rPr>
        <w:t xml:space="preserve">Acceptance: </w:t>
      </w:r>
      <w:r>
        <w:t>Forced-enrolment state blocks workspace access until complete.</w:t>
      </w:r>
    </w:p>
    <w:p>
      <w:pPr>
        <w:spacing w:after="40"/>
      </w:pPr>
      <w:r>
        <w:rPr>
          <w:b/>
          <w:color w:val="005840"/>
        </w:rPr>
        <w:t>ID-005 — Password reset [P0]</w:t>
      </w:r>
    </w:p>
    <w:p>
      <w:r>
        <w:t>Use a separate code-verification screen before new password entry; verification does not spend the code.</w:t>
      </w:r>
    </w:p>
    <w:p>
      <w:pPr>
        <w:ind w:left="288"/>
      </w:pPr>
      <w:r>
        <w:rPr>
          <w:b/>
        </w:rPr>
        <w:t xml:space="preserve">Acceptance: </w:t>
      </w:r>
      <w:r>
        <w:t>Mistyped verification code is rejected before password selection.</w:t>
      </w:r>
    </w:p>
    <w:p>
      <w:pPr>
        <w:spacing w:after="40"/>
      </w:pPr>
      <w:r>
        <w:rPr>
          <w:b/>
          <w:color w:val="005840"/>
        </w:rPr>
        <w:t>ID-006 — Registration [P0]</w:t>
      </w:r>
    </w:p>
    <w:p>
      <w:r>
        <w:t>Registration creates a tenant and founding admin in one operation and flows directly into onboarding.</w:t>
      </w:r>
    </w:p>
    <w:p>
      <w:pPr>
        <w:ind w:left="288"/>
      </w:pPr>
      <w:r>
        <w:rPr>
          <w:b/>
        </w:rPr>
        <w:t xml:space="preserve">Acceptance: </w:t>
      </w:r>
      <w:r>
        <w:t>New tenant reaches setup wizard after successful registration.</w:t>
      </w:r>
    </w:p>
    <w:p>
      <w:pPr>
        <w:spacing w:after="40"/>
      </w:pPr>
      <w:r>
        <w:rPr>
          <w:b/>
          <w:color w:val="005840"/>
        </w:rPr>
        <w:t>ID-007 — Guest identity [P1]</w:t>
      </w:r>
    </w:p>
    <w:p>
      <w:r>
        <w:t>Guests have scoped access, a stripped shell, no app switcher/sidebar, and one task.</w:t>
      </w:r>
    </w:p>
    <w:p>
      <w:pPr>
        <w:ind w:left="288"/>
      </w:pPr>
      <w:r>
        <w:rPr>
          <w:b/>
        </w:rPr>
        <w:t xml:space="preserve">Acceptance: </w:t>
      </w:r>
      <w:r>
        <w:t>Guest experiences do not expose authenticated tenant navigation.</w:t>
      </w:r>
    </w:p>
    <w:p>
      <w:pPr>
        <w:spacing w:after="40"/>
      </w:pPr>
      <w:r>
        <w:rPr>
          <w:b/>
          <w:color w:val="005840"/>
        </w:rPr>
        <w:t>ID-008 — Enterprise identity admin [P2]</w:t>
      </w:r>
    </w:p>
    <w:p>
      <w:r>
        <w:t>Support SSO configuration, SCIM token minting, manager assignment, deactivation and sign-out-everywhere.</w:t>
      </w:r>
    </w:p>
    <w:p>
      <w:pPr>
        <w:ind w:left="288"/>
      </w:pPr>
      <w:r>
        <w:rPr>
          <w:b/>
        </w:rPr>
        <w:t xml:space="preserve">Acceptance: </w:t>
      </w:r>
      <w:r>
        <w:t>Secrets such as SCIM bearer tokens are shown only at creation.</w:t>
      </w:r>
    </w:p>
    <w:p>
      <w:pPr>
        <w:pStyle w:val="Heading2"/>
      </w:pPr>
      <w:r>
        <w:t>11.2 Shared Shell</w:t>
      </w:r>
    </w:p>
    <w:p>
      <w:pPr>
        <w:spacing w:after="40"/>
      </w:pPr>
      <w:r>
        <w:rPr>
          <w:b/>
          <w:color w:val="005840"/>
        </w:rPr>
        <w:t>SHELL-001 — App switcher [P0]</w:t>
      </w:r>
    </w:p>
    <w:p>
      <w:r>
        <w:t>Show apps the tenant is entitled to and locked apps with an upgrade affordance.</w:t>
      </w:r>
    </w:p>
    <w:p>
      <w:pPr>
        <w:ind w:left="288"/>
      </w:pPr>
      <w:r>
        <w:rPr>
          <w:b/>
        </w:rPr>
        <w:t xml:space="preserve">Acceptance: </w:t>
      </w:r>
      <w:r>
        <w:t>Entitled and locked states are distinct and usable.</w:t>
      </w:r>
    </w:p>
    <w:p>
      <w:pPr>
        <w:spacing w:after="40"/>
      </w:pPr>
      <w:r>
        <w:rPr>
          <w:b/>
          <w:color w:val="005840"/>
        </w:rPr>
        <w:t>SHELL-002 — Sidebar [P0]</w:t>
      </w:r>
    </w:p>
    <w:p>
      <w:r>
        <w:t>App-scoped navigation is at most two levels deep and supports expanded and icon-only collapsed states.</w:t>
      </w:r>
    </w:p>
    <w:p>
      <w:pPr>
        <w:ind w:left="288"/>
      </w:pPr>
      <w:r>
        <w:rPr>
          <w:b/>
        </w:rPr>
        <w:t xml:space="preserve">Acceptance: </w:t>
      </w:r>
      <w:r>
        <w:t>Navigation remains usable in dense helpdesk/inbox layouts.</w:t>
      </w:r>
    </w:p>
    <w:p>
      <w:pPr>
        <w:spacing w:after="40"/>
      </w:pPr>
      <w:r>
        <w:rPr>
          <w:b/>
          <w:color w:val="005840"/>
        </w:rPr>
        <w:t>SHELL-003 — Top bar [P0]</w:t>
      </w:r>
    </w:p>
    <w:p>
      <w:r>
        <w:t>Provide global search, notification bell/unread count, account menu, tenant switching if supported, and sign-out.</w:t>
      </w:r>
    </w:p>
    <w:p>
      <w:pPr>
        <w:ind w:left="288"/>
      </w:pPr>
      <w:r>
        <w:rPr>
          <w:b/>
        </w:rPr>
        <w:t xml:space="preserve">Acceptance: </w:t>
      </w:r>
      <w:r>
        <w:t>Top bar is consistent across authenticated apps.</w:t>
      </w:r>
    </w:p>
    <w:p>
      <w:pPr>
        <w:spacing w:after="40"/>
      </w:pPr>
      <w:r>
        <w:rPr>
          <w:b/>
          <w:color w:val="005840"/>
        </w:rPr>
        <w:t>SHELL-004 — Global search [P0]</w:t>
      </w:r>
    </w:p>
    <w:p>
      <w:r>
        <w:t>Use a command-palette overlay with keyboard path; search records across object types and only returns records the caller may see.</w:t>
      </w:r>
    </w:p>
    <w:p>
      <w:pPr>
        <w:ind w:left="288"/>
      </w:pPr>
      <w:r>
        <w:rPr>
          <w:b/>
        </w:rPr>
        <w:t xml:space="preserve">Acceptance: </w:t>
      </w:r>
      <w:r>
        <w:t>Results navigate to record detail rather than pretending records are screens.</w:t>
      </w:r>
    </w:p>
    <w:p>
      <w:pPr>
        <w:spacing w:after="40"/>
      </w:pPr>
      <w:r>
        <w:rPr>
          <w:b/>
          <w:color w:val="005840"/>
        </w:rPr>
        <w:t>SHELL-005 — Empty workspace [P0]</w:t>
      </w:r>
    </w:p>
    <w:p>
      <w:r>
        <w:t>A new Free-plan tenant with one app, no records and no colleagues must see an intentional setup checklist rather than a blank sidebar.</w:t>
      </w:r>
    </w:p>
    <w:p>
      <w:pPr>
        <w:ind w:left="288"/>
      </w:pPr>
      <w:r>
        <w:rPr>
          <w:b/>
        </w:rPr>
        <w:t xml:space="preserve">Acceptance: </w:t>
      </w:r>
      <w:r>
        <w:t>Empty workspace provides a clear next action.</w:t>
      </w:r>
    </w:p>
    <w:p>
      <w:pPr>
        <w:pStyle w:val="Heading2"/>
      </w:pPr>
      <w:r>
        <w:t>11.3 Onboarding</w:t>
      </w:r>
    </w:p>
    <w:p>
      <w:pPr>
        <w:spacing w:after="40"/>
      </w:pPr>
      <w:r>
        <w:rPr>
          <w:b/>
          <w:color w:val="005840"/>
        </w:rPr>
        <w:t>ONB-001 — Workspace catalog [P0]</w:t>
      </w:r>
    </w:p>
    <w:p>
      <w:r>
        <w:t>Load six multi-select dimensions: industry, charging model, team activity, items sold, channels and team size. Every dimension supports an 'Other' input.</w:t>
      </w:r>
    </w:p>
    <w:p>
      <w:pPr>
        <w:ind w:left="288"/>
      </w:pPr>
      <w:r>
        <w:rPr>
          <w:b/>
        </w:rPr>
        <w:t xml:space="preserve">Acceptance: </w:t>
      </w:r>
      <w:r>
        <w:t>Available and planned capabilities are both visible.</w:t>
      </w:r>
    </w:p>
    <w:p>
      <w:pPr>
        <w:spacing w:after="40"/>
      </w:pPr>
      <w:r>
        <w:rPr>
          <w:b/>
          <w:color w:val="005840"/>
        </w:rPr>
        <w:t>ONB-002 — Planned capabilities [P0]</w:t>
      </w:r>
    </w:p>
    <w:p>
      <w:r>
        <w:t>Show planned options honestly as demand signals and provide a notification path rather than pretending the capability is configured.</w:t>
      </w:r>
    </w:p>
    <w:p>
      <w:pPr>
        <w:ind w:left="288"/>
      </w:pPr>
      <w:r>
        <w:rPr>
          <w:b/>
        </w:rPr>
        <w:t xml:space="preserve">Acceptance: </w:t>
      </w:r>
      <w:r>
        <w:t>Planned selections are not silently dropped.</w:t>
      </w:r>
    </w:p>
    <w:p>
      <w:pPr>
        <w:spacing w:after="40"/>
      </w:pPr>
      <w:r>
        <w:rPr>
          <w:b/>
          <w:color w:val="005840"/>
        </w:rPr>
        <w:t>ONB-003 — Review [P0]</w:t>
      </w:r>
    </w:p>
    <w:p>
      <w:r>
        <w:t>Show what each answer will create. Users can confirm or decline each capability individually.</w:t>
      </w:r>
    </w:p>
    <w:p>
      <w:pPr>
        <w:ind w:left="288"/>
      </w:pPr>
      <w:r>
        <w:rPr>
          <w:b/>
        </w:rPr>
        <w:t xml:space="preserve">Acceptance: </w:t>
      </w:r>
      <w:r>
        <w:t>Review names concrete outcomes such as objects and fields.</w:t>
      </w:r>
    </w:p>
    <w:p>
      <w:pPr>
        <w:spacing w:after="40"/>
      </w:pPr>
      <w:r>
        <w:rPr>
          <w:b/>
          <w:color w:val="005840"/>
        </w:rPr>
        <w:t>ONB-004 — Assembly [P0]</w:t>
      </w:r>
    </w:p>
    <w:p>
      <w:r>
        <w:t>Assemble selected capabilities into custom objects and entitlements. Show named progress steps and partial-failure state.</w:t>
      </w:r>
    </w:p>
    <w:p>
      <w:pPr>
        <w:ind w:left="288"/>
      </w:pPr>
      <w:r>
        <w:rPr>
          <w:b/>
        </w:rPr>
        <w:t xml:space="preserve">Acceptance: </w:t>
      </w:r>
      <w:r>
        <w:t>Assembly never appears to finish instantly if the operation is still running.</w:t>
      </w:r>
    </w:p>
    <w:p>
      <w:pPr>
        <w:spacing w:after="40"/>
      </w:pPr>
      <w:r>
        <w:rPr>
          <w:b/>
          <w:color w:val="005840"/>
        </w:rPr>
        <w:t>ONB-005 — Resume [P0]</w:t>
      </w:r>
    </w:p>
    <w:p>
      <w:r>
        <w:t>Persist progress and allow users to resume from the empty workspace with a progress card such as 'Finish setting up (3 of 6)'.</w:t>
      </w:r>
    </w:p>
    <w:p>
      <w:pPr>
        <w:ind w:left="288"/>
      </w:pPr>
      <w:r>
        <w:rPr>
          <w:b/>
        </w:rPr>
        <w:t xml:space="preserve">Acceptance: </w:t>
      </w:r>
      <w:r>
        <w:t>Interrupted onboarding is recoverable.</w:t>
      </w:r>
    </w:p>
    <w:p>
      <w:pPr>
        <w:pStyle w:val="Heading2"/>
      </w:pPr>
      <w:r>
        <w:t>11.4 VargNotify</w:t>
      </w:r>
    </w:p>
    <w:p>
      <w:pPr>
        <w:spacing w:after="40"/>
      </w:pPr>
      <w:r>
        <w:rPr>
          <w:b/>
          <w:color w:val="005840"/>
        </w:rPr>
        <w:t>NOT-001 — Notification feed [P0]</w:t>
      </w:r>
    </w:p>
    <w:p>
      <w:r>
        <w:t>Display notification type, body and target record where applicable; support mark-read and mark-all-read.</w:t>
      </w:r>
    </w:p>
    <w:p>
      <w:pPr>
        <w:ind w:left="288"/>
      </w:pPr>
      <w:r>
        <w:rPr>
          <w:b/>
        </w:rPr>
        <w:t xml:space="preserve">Acceptance: </w:t>
      </w:r>
      <w:r>
        <w:t>Read/unread, grouping by day, empty and non-interactive notifications are visually distinct.</w:t>
      </w:r>
    </w:p>
    <w:p>
      <w:pPr>
        <w:spacing w:after="40"/>
      </w:pPr>
      <w:r>
        <w:rPr>
          <w:b/>
          <w:color w:val="005840"/>
        </w:rPr>
        <w:t>NOT-002 — Notification preferences [P1]</w:t>
      </w:r>
    </w:p>
    <w:p>
      <w:r>
        <w:t>Configure in-app, email, SMS and push channels as a notification-type × channel matrix.</w:t>
      </w:r>
    </w:p>
    <w:p>
      <w:pPr>
        <w:ind w:left="288"/>
      </w:pPr>
      <w:r>
        <w:rPr>
          <w:b/>
        </w:rPr>
        <w:t xml:space="preserve">Acceptance: </w:t>
      </w:r>
      <w:r>
        <w:t>Preferences are understandable as a matrix rather than unrelated switches.</w:t>
      </w:r>
    </w:p>
    <w:p>
      <w:pPr>
        <w:spacing w:after="40"/>
      </w:pPr>
      <w:r>
        <w:rPr>
          <w:b/>
          <w:color w:val="005840"/>
        </w:rPr>
        <w:t>NOT-003 — Devices [P1]</w:t>
      </w:r>
    </w:p>
    <w:p>
      <w:r>
        <w:t>List registered push devices and allow revocation per device.</w:t>
      </w:r>
    </w:p>
    <w:p>
      <w:pPr>
        <w:ind w:left="288"/>
      </w:pPr>
      <w:r>
        <w:rPr>
          <w:b/>
        </w:rPr>
        <w:t xml:space="preserve">Acceptance: </w:t>
      </w:r>
      <w:r>
        <w:t>Revocation has confirmation and completion feedback.</w:t>
      </w:r>
    </w:p>
    <w:p>
      <w:pPr>
        <w:pStyle w:val="Heading1"/>
      </w:pPr>
      <w:r>
        <w:t>12. Functional Requirements — Wave 2</w:t>
      </w:r>
    </w:p>
    <w:p>
      <w:pPr>
        <w:pStyle w:val="Heading2"/>
      </w:pPr>
      <w:r>
        <w:t>12.1 VargCore — Directory</w:t>
      </w:r>
    </w:p>
    <w:p>
      <w:pPr>
        <w:spacing w:after="40"/>
      </w:pPr>
      <w:r>
        <w:rPr>
          <w:b/>
          <w:color w:val="005840"/>
        </w:rPr>
        <w:t>CORE-001 — Directory entities [P1]</w:t>
      </w:r>
    </w:p>
    <w:p>
      <w:r>
        <w:t>Support accounts, contacts and workers with list, detail, create, edit and soft-delete flows.</w:t>
      </w:r>
    </w:p>
    <w:p>
      <w:pPr>
        <w:ind w:left="288"/>
      </w:pPr>
      <w:r>
        <w:rPr>
          <w:b/>
        </w:rPr>
        <w:t xml:space="preserve">Acceptance: </w:t>
      </w:r>
      <w:r>
        <w:t>All three entity types use consistent list/detail/create/edit patterns.</w:t>
      </w:r>
    </w:p>
    <w:p>
      <w:pPr>
        <w:spacing w:after="40"/>
      </w:pPr>
      <w:r>
        <w:rPr>
          <w:b/>
          <w:color w:val="005840"/>
        </w:rPr>
        <w:t>CORE-002 — Dynamic custom fields [P0]</w:t>
      </w:r>
    </w:p>
    <w:p>
      <w:r>
        <w:t>Every detail screen supports standard fields plus tenant-defined custom fields using one reusable dynamic section.</w:t>
      </w:r>
    </w:p>
    <w:p>
      <w:pPr>
        <w:ind w:left="288"/>
      </w:pPr>
      <w:r>
        <w:rPr>
          <w:b/>
        </w:rPr>
        <w:t xml:space="preserve">Acceptance: </w:t>
      </w:r>
      <w:r>
        <w:t>The dynamic section is reusable in Directory, Books and Objects.</w:t>
      </w:r>
    </w:p>
    <w:p>
      <w:pPr>
        <w:spacing w:after="40"/>
      </w:pPr>
      <w:r>
        <w:rPr>
          <w:b/>
          <w:color w:val="005840"/>
        </w:rPr>
        <w:t>CORE-003 — Activities timeline [P1]</w:t>
      </w:r>
    </w:p>
    <w:p>
      <w:r>
        <w:t>Provide notes, calls and meetings as a reusable activity timeline against accounts, contacts, workers and records.</w:t>
      </w:r>
    </w:p>
    <w:p>
      <w:pPr>
        <w:ind w:left="288"/>
      </w:pPr>
      <w:r>
        <w:rPr>
          <w:b/>
        </w:rPr>
        <w:t xml:space="preserve">Acceptance: </w:t>
      </w:r>
      <w:r>
        <w:t>Timeline component is consistent across entity types.</w:t>
      </w:r>
    </w:p>
    <w:p>
      <w:pPr>
        <w:pStyle w:val="Heading2"/>
      </w:pPr>
      <w:r>
        <w:t>12.2 VargCore — Custom Objects</w:t>
      </w:r>
    </w:p>
    <w:p>
      <w:pPr>
        <w:spacing w:after="40"/>
      </w:pPr>
      <w:r>
        <w:rPr>
          <w:b/>
          <w:color w:val="005840"/>
        </w:rPr>
        <w:t>OBJ-001 — Generic object renderer [P0]</w:t>
      </w:r>
    </w:p>
    <w:p>
      <w:r>
        <w:t>Render tenant-defined objects from server metadata for list columns, sort order and form sections.</w:t>
      </w:r>
    </w:p>
    <w:p>
      <w:pPr>
        <w:ind w:left="288"/>
      </w:pPr>
      <w:r>
        <w:rPr>
          <w:b/>
        </w:rPr>
        <w:t xml:space="preserve">Acceptance: </w:t>
      </w:r>
      <w:r>
        <w:t>The renderer works across arbitrary future objects without app-specific screen duplication.</w:t>
      </w:r>
    </w:p>
    <w:p>
      <w:pPr>
        <w:spacing w:after="40"/>
      </w:pPr>
      <w:r>
        <w:rPr>
          <w:b/>
          <w:color w:val="005840"/>
        </w:rPr>
        <w:t>OBJ-002 — Object designer [P1]</w:t>
      </w:r>
    </w:p>
    <w:p>
      <w:r>
        <w:t>Allow fields, types and validation to be defined.</w:t>
      </w:r>
    </w:p>
    <w:p>
      <w:pPr>
        <w:ind w:left="288"/>
      </w:pPr>
      <w:r>
        <w:rPr>
          <w:b/>
        </w:rPr>
        <w:t xml:space="preserve">Acceptance: </w:t>
      </w:r>
      <w:r>
        <w:t>Field definitions can be created/edited with validation feedback.</w:t>
      </w:r>
    </w:p>
    <w:p>
      <w:pPr>
        <w:spacing w:after="40"/>
      </w:pPr>
      <w:r>
        <w:rPr>
          <w:b/>
          <w:color w:val="005840"/>
        </w:rPr>
        <w:t>OBJ-003 — Layout editor [P1]</w:t>
      </w:r>
    </w:p>
    <w:p>
      <w:r>
        <w:t>Allow list columns and form sections to be ordered through a visual editor.</w:t>
      </w:r>
    </w:p>
    <w:p>
      <w:pPr>
        <w:ind w:left="288"/>
      </w:pPr>
      <w:r>
        <w:rPr>
          <w:b/>
        </w:rPr>
        <w:t xml:space="preserve">Acceptance: </w:t>
      </w:r>
      <w:r>
        <w:t>Changes to layout are reflected in the generic renderer.</w:t>
      </w:r>
    </w:p>
    <w:p>
      <w:pPr>
        <w:spacing w:after="40"/>
      </w:pPr>
      <w:r>
        <w:rPr>
          <w:b/>
          <w:color w:val="005840"/>
        </w:rPr>
        <w:t>OBJ-004 — Record management [P1]</w:t>
      </w:r>
    </w:p>
    <w:p>
      <w:r>
        <w:t>Support record list, detail, create/edit, import and export.</w:t>
      </w:r>
    </w:p>
    <w:p>
      <w:pPr>
        <w:ind w:left="288"/>
      </w:pPr>
      <w:r>
        <w:rPr>
          <w:b/>
        </w:rPr>
        <w:t xml:space="preserve">Acceptance: </w:t>
      </w:r>
      <w:r>
        <w:t>Import has asynchronous request status; export supports the specified bulk behavior.</w:t>
      </w:r>
    </w:p>
    <w:p>
      <w:pPr>
        <w:spacing w:after="40"/>
      </w:pPr>
      <w:r>
        <w:rPr>
          <w:b/>
          <w:color w:val="005840"/>
        </w:rPr>
        <w:t>OBJ-005 — Destructive schema protection [P0]</w:t>
      </w:r>
    </w:p>
    <w:p>
      <w:r>
        <w:t>Before deleting a field, show impact such as '12 records reference this field' and require blocking confirmation. Retiring an object is terminal and requires typed confirmation.</w:t>
      </w:r>
    </w:p>
    <w:p>
      <w:pPr>
        <w:ind w:left="288"/>
      </w:pPr>
      <w:r>
        <w:rPr>
          <w:b/>
        </w:rPr>
        <w:t xml:space="preserve">Acceptance: </w:t>
      </w:r>
      <w:r>
        <w:t>Destructive actions cannot be confirmed with an accidental single click.</w:t>
      </w:r>
    </w:p>
    <w:p>
      <w:pPr>
        <w:spacing w:after="40"/>
      </w:pPr>
      <w:r>
        <w:rPr>
          <w:b/>
          <w:color w:val="005840"/>
        </w:rPr>
        <w:t>OBJ-006 — Record types and states [P2]</w:t>
      </w:r>
    </w:p>
    <w:p>
      <w:r>
        <w:t>Support record types, duplicate rules and object state authoring. Execution of state transitions belongs to VargFlow.</w:t>
      </w:r>
    </w:p>
    <w:p>
      <w:pPr>
        <w:ind w:left="288"/>
      </w:pPr>
      <w:r>
        <w:rPr>
          <w:b/>
        </w:rPr>
        <w:t xml:space="preserve">Acceptance: </w:t>
      </w:r>
      <w:r>
        <w:t>The object designer does not duplicate the workflow engine.</w:t>
      </w:r>
    </w:p>
    <w:p>
      <w:pPr>
        <w:spacing w:after="40"/>
      </w:pPr>
      <w:r>
        <w:rPr>
          <w:b/>
          <w:color w:val="005840"/>
        </w:rPr>
        <w:t>AUD-001 — Audit timelines [P1]</w:t>
      </w:r>
    </w:p>
    <w:p>
      <w:r>
        <w:t>Provide filterable timelines for what happened to a record and what a user did, plus access-denial lists by module/subject.</w:t>
      </w:r>
    </w:p>
    <w:p>
      <w:pPr>
        <w:ind w:left="288"/>
      </w:pPr>
      <w:r>
        <w:rPr>
          <w:b/>
        </w:rPr>
        <w:t xml:space="preserve">Acceptance: </w:t>
      </w:r>
      <w:r>
        <w:t>Audit screens are read-only, filterable and suitable for support/security review.</w:t>
      </w:r>
    </w:p>
    <w:p>
      <w:pPr>
        <w:pStyle w:val="Heading2"/>
      </w:pPr>
      <w:r>
        <w:t>12.3 VargBooks — Accounting</w:t>
      </w:r>
    </w:p>
    <w:p>
      <w:pPr>
        <w:spacing w:after="40"/>
      </w:pPr>
      <w:r>
        <w:rPr>
          <w:b/>
          <w:color w:val="005840"/>
        </w:rPr>
        <w:t>BOOK-001 — Invoice lifecycle [P0]</w:t>
      </w:r>
    </w:p>
    <w:p>
      <w:r>
        <w:t>Support draft → issued → paid and draft/issued → void where applicable. Ledger-affecting transitions require confirmation.</w:t>
      </w:r>
    </w:p>
    <w:p>
      <w:pPr>
        <w:ind w:left="288"/>
      </w:pPr>
      <w:r>
        <w:rPr>
          <w:b/>
        </w:rPr>
        <w:t xml:space="preserve">Acceptance: </w:t>
      </w:r>
      <w:r>
        <w:t>Status and irreversible transitions are explicit.</w:t>
      </w:r>
    </w:p>
    <w:p>
      <w:pPr>
        <w:spacing w:after="40"/>
      </w:pPr>
      <w:r>
        <w:rPr>
          <w:b/>
          <w:color w:val="005840"/>
        </w:rPr>
        <w:t>BOOK-002 — Invoice create/edit [P0]</w:t>
      </w:r>
    </w:p>
    <w:p>
      <w:r>
        <w:t>Provide line-item editing with add/remove/reorder, per-line VAT and withholding tax treatment, live totals and keyboard navigation.</w:t>
      </w:r>
    </w:p>
    <w:p>
      <w:pPr>
        <w:ind w:left="288"/>
      </w:pPr>
      <w:r>
        <w:rPr>
          <w:b/>
        </w:rPr>
        <w:t xml:space="preserve">Acceptance: </w:t>
      </w:r>
      <w:r>
        <w:t>Finance users can move between line-item cells by keyboard.</w:t>
      </w:r>
    </w:p>
    <w:p>
      <w:pPr>
        <w:spacing w:after="40"/>
      </w:pPr>
      <w:r>
        <w:rPr>
          <w:b/>
          <w:color w:val="005840"/>
        </w:rPr>
        <w:t>BOOK-003 — Bills [P1]</w:t>
      </w:r>
    </w:p>
    <w:p>
      <w:r>
        <w:t>Provide bill list, detail and create/edit, using consistent accounting patterns.</w:t>
      </w:r>
    </w:p>
    <w:p>
      <w:pPr>
        <w:ind w:left="288"/>
      </w:pPr>
      <w:r>
        <w:rPr>
          <w:b/>
        </w:rPr>
        <w:t xml:space="preserve">Acceptance: </w:t>
      </w:r>
      <w:r>
        <w:t>Bills clearly distinguish draft, recorded and paid states.</w:t>
      </w:r>
    </w:p>
    <w:p>
      <w:pPr>
        <w:spacing w:after="40"/>
      </w:pPr>
      <w:r>
        <w:rPr>
          <w:b/>
          <w:color w:val="005840"/>
        </w:rPr>
        <w:t>BOOK-004 — Journal entries [P1]</w:t>
      </w:r>
    </w:p>
    <w:p>
      <w:r>
        <w:t>Provide a debit/credit editor that must balance before submission.</w:t>
      </w:r>
    </w:p>
    <w:p>
      <w:pPr>
        <w:ind w:left="288"/>
      </w:pPr>
      <w:r>
        <w:rPr>
          <w:b/>
        </w:rPr>
        <w:t xml:space="preserve">Acceptance: </w:t>
      </w:r>
      <w:r>
        <w:t>Unbalanced journals cannot be submitted.</w:t>
      </w:r>
    </w:p>
    <w:p>
      <w:pPr>
        <w:spacing w:after="40"/>
      </w:pPr>
      <w:r>
        <w:rPr>
          <w:b/>
          <w:color w:val="005840"/>
        </w:rPr>
        <w:t>BOOK-005 — Chart of accounts [P1]</w:t>
      </w:r>
    </w:p>
    <w:p>
      <w:r>
        <w:t>Render accounts as a tree rather than a flat list.</w:t>
      </w:r>
    </w:p>
    <w:p>
      <w:pPr>
        <w:ind w:left="288"/>
      </w:pPr>
      <w:r>
        <w:rPr>
          <w:b/>
        </w:rPr>
        <w:t xml:space="preserve">Acceptance: </w:t>
      </w:r>
      <w:r>
        <w:t>Parent/child hierarchy is clear.</w:t>
      </w:r>
    </w:p>
    <w:p>
      <w:pPr>
        <w:spacing w:after="40"/>
      </w:pPr>
      <w:r>
        <w:rPr>
          <w:b/>
          <w:color w:val="005840"/>
        </w:rPr>
        <w:t>BOOK-006 — Bank import [P1]</w:t>
      </w:r>
    </w:p>
    <w:p>
      <w:r>
        <w:t>Support file upload, column mapping and preview.</w:t>
      </w:r>
    </w:p>
    <w:p>
      <w:pPr>
        <w:ind w:left="288"/>
      </w:pPr>
      <w:r>
        <w:rPr>
          <w:b/>
        </w:rPr>
        <w:t xml:space="preserve">Acceptance: </w:t>
      </w:r>
      <w:r>
        <w:t>Mapping errors are visible before import.</w:t>
      </w:r>
    </w:p>
    <w:p>
      <w:pPr>
        <w:spacing w:after="40"/>
      </w:pPr>
      <w:r>
        <w:rPr>
          <w:b/>
          <w:color w:val="005840"/>
        </w:rPr>
        <w:t>BOOK-007 — Reconciliation [P0]</w:t>
      </w:r>
    </w:p>
    <w:p>
      <w:r>
        <w:t>Use a two-column matching workspace with bank transactions on one side and unmatched invoices/bills on the other, including suggested matches and reversible matching.</w:t>
      </w:r>
    </w:p>
    <w:p>
      <w:pPr>
        <w:ind w:left="288"/>
      </w:pPr>
      <w:r>
        <w:rPr>
          <w:b/>
        </w:rPr>
        <w:t xml:space="preserve">Acceptance: </w:t>
      </w:r>
      <w:r>
        <w:t>Every match can be reversed.</w:t>
      </w:r>
    </w:p>
    <w:p>
      <w:pPr>
        <w:spacing w:after="40"/>
      </w:pPr>
      <w:r>
        <w:rPr>
          <w:b/>
          <w:color w:val="005840"/>
        </w:rPr>
        <w:t>BOOK-008 — Reports [P1]</w:t>
      </w:r>
    </w:p>
    <w:p>
      <w:r>
        <w:t>Provide AR aging, AP aging, cash position and cash-flow forecast with drill-down behavior.</w:t>
      </w:r>
    </w:p>
    <w:p>
      <w:pPr>
        <w:ind w:left="288"/>
      </w:pPr>
      <w:r>
        <w:rPr>
          <w:b/>
        </w:rPr>
        <w:t xml:space="preserve">Acceptance: </w:t>
      </w:r>
      <w:r>
        <w:t>Report data connects to underlying documents where specified.</w:t>
      </w:r>
    </w:p>
    <w:p>
      <w:pPr>
        <w:pStyle w:val="Heading1"/>
      </w:pPr>
      <w:r>
        <w:t>13. Functional Requirements — Wave 3</w:t>
      </w:r>
    </w:p>
    <w:p>
      <w:pPr>
        <w:pStyle w:val="Heading2"/>
      </w:pPr>
      <w:r>
        <w:t>13.1 VargPay</w:t>
      </w:r>
    </w:p>
    <w:p>
      <w:pPr>
        <w:spacing w:after="40"/>
      </w:pPr>
      <w:r>
        <w:rPr>
          <w:b/>
          <w:color w:val="005840"/>
        </w:rPr>
        <w:t>PAY-001 — Payment intents [P0]</w:t>
      </w:r>
    </w:p>
    <w:p>
      <w:r>
        <w:t>Support created → authorized → captured, failed, refunded and amount_mismatch states.</w:t>
      </w:r>
    </w:p>
    <w:p>
      <w:pPr>
        <w:ind w:left="288"/>
      </w:pPr>
      <w:r>
        <w:rPr>
          <w:b/>
        </w:rPr>
        <w:t xml:space="preserve">Acceptance: </w:t>
      </w:r>
      <w:r>
        <w:t>Amount mismatch is treated as a reconciliation issue, not a generic failure.</w:t>
      </w:r>
    </w:p>
    <w:p>
      <w:pPr>
        <w:spacing w:after="40"/>
      </w:pPr>
      <w:r>
        <w:rPr>
          <w:b/>
          <w:color w:val="005840"/>
        </w:rPr>
        <w:t>PAY-002 — Refunds [P1]</w:t>
      </w:r>
    </w:p>
    <w:p>
      <w:r>
        <w:t>Support partial and full refunds with appropriate confirmation and status.</w:t>
      </w:r>
    </w:p>
    <w:p>
      <w:pPr>
        <w:ind w:left="288"/>
      </w:pPr>
      <w:r>
        <w:rPr>
          <w:b/>
        </w:rPr>
        <w:t xml:space="preserve">Acceptance: </w:t>
      </w:r>
      <w:r>
        <w:t>Refund state is visible on payment detail.</w:t>
      </w:r>
    </w:p>
    <w:p>
      <w:pPr>
        <w:spacing w:after="40"/>
      </w:pPr>
      <w:r>
        <w:rPr>
          <w:b/>
          <w:color w:val="005840"/>
        </w:rPr>
        <w:t>PAY-003 — PSP configuration [P1]</w:t>
      </w:r>
    </w:p>
    <w:p>
      <w:r>
        <w:t>Support tenant-owned credentials and platform-managed modes. Configuration states are unverified, active or disabled.</w:t>
      </w:r>
    </w:p>
    <w:p>
      <w:pPr>
        <w:ind w:left="288"/>
      </w:pPr>
      <w:r>
        <w:rPr>
          <w:b/>
        </w:rPr>
        <w:t xml:space="preserve">Acceptance: </w:t>
      </w:r>
      <w:r>
        <w:t>Unverified configuration is clearly unusable.</w:t>
      </w:r>
    </w:p>
    <w:p>
      <w:pPr>
        <w:spacing w:after="40"/>
      </w:pPr>
      <w:r>
        <w:rPr>
          <w:b/>
          <w:color w:val="005840"/>
        </w:rPr>
        <w:t>PAY-004 — External checkout [P0]</w:t>
      </w:r>
    </w:p>
    <w:p>
      <w:r>
        <w:t>Redirect payer to PSP checkout and provide redirecting, success, failure and pending-confirmation return states.</w:t>
      </w:r>
    </w:p>
    <w:p>
      <w:pPr>
        <w:ind w:left="288"/>
      </w:pPr>
      <w:r>
        <w:rPr>
          <w:b/>
        </w:rPr>
        <w:t xml:space="preserve">Acceptance: </w:t>
      </w:r>
      <w:r>
        <w:t>Pending settlement is treated as a legitimate state.</w:t>
      </w:r>
    </w:p>
    <w:p>
      <w:pPr>
        <w:pStyle w:val="Heading2"/>
      </w:pPr>
      <w:r>
        <w:t>13.2 VargTax</w:t>
      </w:r>
    </w:p>
    <w:p>
      <w:pPr>
        <w:spacing w:after="40"/>
      </w:pPr>
      <w:r>
        <w:rPr>
          <w:b/>
          <w:color w:val="005840"/>
        </w:rPr>
        <w:t>TAX-001 — Clearance lifecycle [P0]</w:t>
      </w:r>
    </w:p>
    <w:p>
      <w:r>
        <w:t>Support draft → issued → cleared, rejected and delivered. Rejected documents remain actionable and can be fixed/resubmitted.</w:t>
      </w:r>
    </w:p>
    <w:p>
      <w:pPr>
        <w:ind w:left="288"/>
      </w:pPr>
      <w:r>
        <w:rPr>
          <w:b/>
        </w:rPr>
        <w:t xml:space="preserve">Acceptance: </w:t>
      </w:r>
      <w:r>
        <w:t>FIRS rejection reason is visible and actionable.</w:t>
      </w:r>
    </w:p>
    <w:p>
      <w:pPr>
        <w:spacing w:after="40"/>
      </w:pPr>
      <w:r>
        <w:rPr>
          <w:b/>
          <w:color w:val="005840"/>
        </w:rPr>
        <w:t>TAX-002 — Tax returns [P1]</w:t>
      </w:r>
    </w:p>
    <w:p>
      <w:r>
        <w:t>Support returns list/detail/create, submission and remittance confirmation.</w:t>
      </w:r>
    </w:p>
    <w:p>
      <w:pPr>
        <w:ind w:left="288"/>
      </w:pPr>
      <w:r>
        <w:rPr>
          <w:b/>
        </w:rPr>
        <w:t xml:space="preserve">Acceptance: </w:t>
      </w:r>
      <w:r>
        <w:t>Submission and confirmation states are distinguishable.</w:t>
      </w:r>
    </w:p>
    <w:p>
      <w:pPr>
        <w:spacing w:after="40"/>
      </w:pPr>
      <w:r>
        <w:rPr>
          <w:b/>
          <w:color w:val="005840"/>
        </w:rPr>
        <w:t>TAX-003 — Obligations dashboard [P0]</w:t>
      </w:r>
    </w:p>
    <w:p>
      <w:r>
        <w:t>Show upcoming, prepared, filed, confirmed and overdue obligations as a deadline-oriented dashboard.</w:t>
      </w:r>
    </w:p>
    <w:p>
      <w:pPr>
        <w:ind w:left="288"/>
      </w:pPr>
      <w:r>
        <w:rPr>
          <w:b/>
        </w:rPr>
        <w:t xml:space="preserve">Acceptance: </w:t>
      </w:r>
      <w:r>
        <w:t>Overdue items are visually escalated; upcoming items within a week use warning treatment.</w:t>
      </w:r>
    </w:p>
    <w:p>
      <w:pPr>
        <w:spacing w:after="40"/>
      </w:pPr>
      <w:r>
        <w:rPr>
          <w:b/>
          <w:color w:val="005840"/>
        </w:rPr>
        <w:t>TAX-004 — Credential security [P0]</w:t>
      </w:r>
    </w:p>
    <w:p>
      <w:r>
        <w:t>Never display tax credentials after entry; show masked last-four and replace action.</w:t>
      </w:r>
    </w:p>
    <w:p>
      <w:pPr>
        <w:ind w:left="288"/>
      </w:pPr>
      <w:r>
        <w:rPr>
          <w:b/>
        </w:rPr>
        <w:t xml:space="preserve">Acceptance: </w:t>
      </w:r>
      <w:r>
        <w:t>Secrets are never rendered in full after creation.</w:t>
      </w:r>
    </w:p>
    <w:p>
      <w:pPr>
        <w:pStyle w:val="Heading2"/>
      </w:pPr>
      <w:r>
        <w:t>13.3 VargDesk and VargMail</w:t>
      </w:r>
    </w:p>
    <w:p>
      <w:pPr>
        <w:spacing w:after="40"/>
      </w:pPr>
      <w:r>
        <w:rPr>
          <w:b/>
          <w:color w:val="005840"/>
        </w:rPr>
        <w:t>CONV-001 — Shared conversation workspace [P0]</w:t>
      </w:r>
    </w:p>
    <w:p>
      <w:r>
        <w:t>Use a reusable three-pane model: filter rail, conversation list and thread detail. Collapse to two panes at tablet and one at phone.</w:t>
      </w:r>
    </w:p>
    <w:p>
      <w:pPr>
        <w:ind w:left="288"/>
      </w:pPr>
      <w:r>
        <w:rPr>
          <w:b/>
        </w:rPr>
        <w:t xml:space="preserve">Acceptance: </w:t>
      </w:r>
      <w:r>
        <w:t>Both apps share the same core workspace anatomy.</w:t>
      </w:r>
    </w:p>
    <w:p>
      <w:pPr>
        <w:spacing w:after="40"/>
      </w:pPr>
      <w:r>
        <w:rPr>
          <w:b/>
          <w:color w:val="005840"/>
        </w:rPr>
        <w:t>CONV-002 — Conversation list [P0]</w:t>
      </w:r>
    </w:p>
    <w:p>
      <w:r>
        <w:t>Rows show who, subject, snippet, age, status, assignee and unread state.</w:t>
      </w:r>
    </w:p>
    <w:p>
      <w:pPr>
        <w:ind w:left="288"/>
      </w:pPr>
      <w:r>
        <w:rPr>
          <w:b/>
        </w:rPr>
        <w:t xml:space="preserve">Acceptance: </w:t>
      </w:r>
      <w:r>
        <w:t>High-volume lists remain scannable.</w:t>
      </w:r>
    </w:p>
    <w:p>
      <w:pPr>
        <w:spacing w:after="40"/>
      </w:pPr>
      <w:r>
        <w:rPr>
          <w:b/>
          <w:color w:val="005840"/>
        </w:rPr>
        <w:t>CONV-003 — Composer [P0]</w:t>
      </w:r>
    </w:p>
    <w:p>
      <w:r>
        <w:t>Support rich text, attachments, canned responses/macros and a visually unmistakable public-reply vs internal-note distinction.</w:t>
      </w:r>
    </w:p>
    <w:p>
      <w:pPr>
        <w:ind w:left="288"/>
      </w:pPr>
      <w:r>
        <w:rPr>
          <w:b/>
        </w:rPr>
        <w:t xml:space="preserve">Acceptance: </w:t>
      </w:r>
      <w:r>
        <w:t>Internal notes cannot be accidentally confused with public replies.</w:t>
      </w:r>
    </w:p>
    <w:p>
      <w:pPr>
        <w:spacing w:after="40"/>
      </w:pPr>
      <w:r>
        <w:rPr>
          <w:b/>
          <w:color w:val="005840"/>
        </w:rPr>
        <w:t>DESK-001 — Ticket lifecycle and SLA [P0]</w:t>
      </w:r>
    </w:p>
    <w:p>
      <w:r>
        <w:t>Support new → open → pending → resolved → closed, priorities and SLA countdown/breach states.</w:t>
      </w:r>
    </w:p>
    <w:p>
      <w:pPr>
        <w:ind w:left="288"/>
      </w:pPr>
      <w:r>
        <w:rPr>
          <w:b/>
        </w:rPr>
        <w:t xml:space="preserve">Acceptance: </w:t>
      </w:r>
      <w:r>
        <w:t>SLA is visible in both list and thread header.</w:t>
      </w:r>
    </w:p>
    <w:p>
      <w:pPr>
        <w:spacing w:after="40"/>
      </w:pPr>
      <w:r>
        <w:rPr>
          <w:b/>
          <w:color w:val="005840"/>
        </w:rPr>
        <w:t>DESK-002 — Channels [P1]</w:t>
      </w:r>
    </w:p>
    <w:p>
      <w:r>
        <w:t>Support email, SMS and WhatsApp, with each message labeled by channel.</w:t>
      </w:r>
    </w:p>
    <w:p>
      <w:pPr>
        <w:ind w:left="288"/>
      </w:pPr>
      <w:r>
        <w:rPr>
          <w:b/>
        </w:rPr>
        <w:t xml:space="preserve">Acceptance: </w:t>
      </w:r>
      <w:r>
        <w:t>Channel identity is clear at message level.</w:t>
      </w:r>
    </w:p>
    <w:p>
      <w:pPr>
        <w:spacing w:after="40"/>
      </w:pPr>
      <w:r>
        <w:rPr>
          <w:b/>
          <w:color w:val="005840"/>
        </w:rPr>
        <w:t>DESK-003 — Routing and configuration [P1]</w:t>
      </w:r>
    </w:p>
    <w:p>
      <w:r>
        <w:t>Support queues, priority-ordered routing rules, SLA policies, macros, canned responses, channels, tags and analytics.</w:t>
      </w:r>
    </w:p>
    <w:p>
      <w:pPr>
        <w:ind w:left="288"/>
      </w:pPr>
      <w:r>
        <w:rPr>
          <w:b/>
        </w:rPr>
        <w:t xml:space="preserve">Acceptance: </w:t>
      </w:r>
      <w:r>
        <w:t>Routing rules are drag-reorderable because order is meaningful.</w:t>
      </w:r>
    </w:p>
    <w:p>
      <w:pPr>
        <w:spacing w:after="40"/>
      </w:pPr>
      <w:r>
        <w:rPr>
          <w:b/>
          <w:color w:val="005840"/>
        </w:rPr>
        <w:t>MAIL-001 — Shared inbox [P1]</w:t>
      </w:r>
    </w:p>
    <w:p>
      <w:r>
        <w:t>Support thread archive/reopen/assign/reply, tags-as-folders, attachments and priority-ordered routing rules.</w:t>
      </w:r>
    </w:p>
    <w:p>
      <w:pPr>
        <w:ind w:left="288"/>
      </w:pPr>
      <w:r>
        <w:rPr>
          <w:b/>
        </w:rPr>
        <w:t xml:space="preserve">Acceptance: </w:t>
      </w:r>
      <w:r>
        <w:t>Routing component is reused from VargDesk.</w:t>
      </w:r>
    </w:p>
    <w:p>
      <w:pPr>
        <w:spacing w:after="40"/>
      </w:pPr>
      <w:r>
        <w:rPr>
          <w:b/>
          <w:color w:val="005840"/>
        </w:rPr>
        <w:t>MAIL-002 — Provisioning [P2]</w:t>
      </w:r>
    </w:p>
    <w:p>
      <w:r>
        <w:t>Reserved addresses are protected and refusal reasons are explained rather than returning a generic rejection.</w:t>
      </w:r>
    </w:p>
    <w:p>
      <w:pPr>
        <w:ind w:left="288"/>
      </w:pPr>
      <w:r>
        <w:rPr>
          <w:b/>
        </w:rPr>
        <w:t xml:space="preserve">Acceptance: </w:t>
      </w:r>
      <w:r>
        <w:t>Provisioning failures are actionable.</w:t>
      </w:r>
    </w:p>
    <w:p>
      <w:pPr>
        <w:pStyle w:val="Heading2"/>
      </w:pPr>
      <w:r>
        <w:t>13.4 VargFlow</w:t>
      </w:r>
    </w:p>
    <w:p>
      <w:pPr>
        <w:spacing w:after="40"/>
      </w:pPr>
      <w:r>
        <w:rPr>
          <w:b/>
          <w:color w:val="005840"/>
        </w:rPr>
        <w:t>FLOW-001 — Approvals inbox [P0]</w:t>
      </w:r>
    </w:p>
    <w:p>
      <w:r>
        <w:t>Show what is waiting on the current user; expose it from the top bar as a badge; support tablet and phone.</w:t>
      </w:r>
    </w:p>
    <w:p>
      <w:pPr>
        <w:ind w:left="288"/>
      </w:pPr>
      <w:r>
        <w:rPr>
          <w:b/>
        </w:rPr>
        <w:t xml:space="preserve">Acceptance: </w:t>
      </w:r>
      <w:r>
        <w:t>Pending approvals are discoverable without navigating into VargFlow.</w:t>
      </w:r>
    </w:p>
    <w:p>
      <w:pPr>
        <w:spacing w:after="40"/>
      </w:pPr>
      <w:r>
        <w:rPr>
          <w:b/>
          <w:color w:val="005840"/>
        </w:rPr>
        <w:t>FLOW-002 — Approval request detail [P0]</w:t>
      </w:r>
    </w:p>
    <w:p>
      <w:r>
        <w:t>Show underlying record, chain progress, decisions, approve/reject and comment.</w:t>
      </w:r>
    </w:p>
    <w:p>
      <w:pPr>
        <w:ind w:left="288"/>
      </w:pPr>
      <w:r>
        <w:rPr>
          <w:b/>
        </w:rPr>
        <w:t xml:space="preserve">Acceptance: </w:t>
      </w:r>
      <w:r>
        <w:t>Every decision and step state is visible.</w:t>
      </w:r>
    </w:p>
    <w:p>
      <w:pPr>
        <w:spacing w:after="40"/>
      </w:pPr>
      <w:r>
        <w:rPr>
          <w:b/>
          <w:color w:val="005840"/>
        </w:rPr>
        <w:t>FLOW-003 — Approval chain designer [P1]</w:t>
      </w:r>
    </w:p>
    <w:p>
      <w:r>
        <w:t>Support parallel and conditional steps with any/all approver rules.</w:t>
      </w:r>
    </w:p>
    <w:p>
      <w:pPr>
        <w:ind w:left="288"/>
      </w:pPr>
      <w:r>
        <w:rPr>
          <w:b/>
        </w:rPr>
        <w:t xml:space="preserve">Acceptance: </w:t>
      </w:r>
      <w:r>
        <w:t>Graph structure represents non-linear approval chains.</w:t>
      </w:r>
    </w:p>
    <w:p>
      <w:pPr>
        <w:spacing w:after="40"/>
      </w:pPr>
      <w:r>
        <w:rPr>
          <w:b/>
          <w:color w:val="005840"/>
        </w:rPr>
        <w:t>FLOW-004 — Rules engine [P1]</w:t>
      </w:r>
    </w:p>
    <w:p>
      <w:r>
        <w:t>Model trigger → condition → action; provide list, editor and simulator.</w:t>
      </w:r>
    </w:p>
    <w:p>
      <w:pPr>
        <w:ind w:left="288"/>
      </w:pPr>
      <w:r>
        <w:rPr>
          <w:b/>
        </w:rPr>
        <w:t xml:space="preserve">Acceptance: </w:t>
      </w:r>
      <w:r>
        <w:t>Simulator shows event payload, evaluation trace and resulting actions side by side.</w:t>
      </w:r>
    </w:p>
    <w:p>
      <w:pPr>
        <w:spacing w:after="40"/>
      </w:pPr>
      <w:r>
        <w:rPr>
          <w:b/>
          <w:color w:val="005840"/>
        </w:rPr>
        <w:t>FLOW-005 — Obligations [P1]</w:t>
      </w:r>
    </w:p>
    <w:p>
      <w:r>
        <w:t>Support deadline-oriented list/detail/create/fulfil/delete with calendar alternative and consistent tax-obligation styling.</w:t>
      </w:r>
    </w:p>
    <w:p>
      <w:pPr>
        <w:ind w:left="288"/>
      </w:pPr>
      <w:r>
        <w:rPr>
          <w:b/>
        </w:rPr>
        <w:t xml:space="preserve">Acceptance: </w:t>
      </w:r>
      <w:r>
        <w:t>Overdue commitments are clearly escalated.</w:t>
      </w:r>
    </w:p>
    <w:p>
      <w:pPr>
        <w:pStyle w:val="Heading1"/>
      </w:pPr>
      <w:r>
        <w:t>14. Functional Requirements — Wave 4</w:t>
      </w:r>
    </w:p>
    <w:p>
      <w:pPr>
        <w:pStyle w:val="Heading2"/>
      </w:pPr>
      <w:r>
        <w:t>14.1 Access Governance</w:t>
      </w:r>
    </w:p>
    <w:p>
      <w:pPr>
        <w:spacing w:after="40"/>
      </w:pPr>
      <w:r>
        <w:rPr>
          <w:b/>
          <w:color w:val="005840"/>
        </w:rPr>
        <w:t>ACC-001 — Roles and grants [P1]</w:t>
      </w:r>
    </w:p>
    <w:p>
      <w:r>
        <w:t>Support role CRUD, structured grants builder, assignments and user attributes.</w:t>
      </w:r>
    </w:p>
    <w:p>
      <w:pPr>
        <w:ind w:left="288"/>
      </w:pPr>
      <w:r>
        <w:rPr>
          <w:b/>
        </w:rPr>
        <w:t xml:space="preserve">Acceptance: </w:t>
      </w:r>
      <w:r>
        <w:t>Permission strings are constructed structurally rather than entered as raw text.</w:t>
      </w:r>
    </w:p>
    <w:p>
      <w:pPr>
        <w:spacing w:after="40"/>
      </w:pPr>
      <w:r>
        <w:rPr>
          <w:b/>
          <w:color w:val="005840"/>
        </w:rPr>
        <w:t>ACC-002 — ABAC [P1]</w:t>
      </w:r>
    </w:p>
    <w:p>
      <w:r>
        <w:t>Provide ABAC rule lifecycle, DSL editor and preview with inline syntax errors.</w:t>
      </w:r>
    </w:p>
    <w:p>
      <w:pPr>
        <w:ind w:left="288"/>
      </w:pPr>
      <w:r>
        <w:rPr>
          <w:b/>
        </w:rPr>
        <w:t xml:space="preserve">Acceptance: </w:t>
      </w:r>
      <w:r>
        <w:t>DSL preview shows users/records matched before save.</w:t>
      </w:r>
    </w:p>
    <w:p>
      <w:pPr>
        <w:spacing w:after="40"/>
      </w:pPr>
      <w:r>
        <w:rPr>
          <w:b/>
          <w:color w:val="005840"/>
        </w:rPr>
        <w:t>ACC-003 — Simulation [P1]</w:t>
      </w:r>
    </w:p>
    <w:p>
      <w:r>
        <w:t>Compare two users, preview role assignment impact and run policy regression checks.</w:t>
      </w:r>
    </w:p>
    <w:p>
      <w:pPr>
        <w:ind w:left="288"/>
      </w:pPr>
      <w:r>
        <w:rPr>
          <w:b/>
        </w:rPr>
        <w:t xml:space="preserve">Acceptance: </w:t>
      </w:r>
      <w:r>
        <w:t>Diff clearly identifies added, removed and unchanged permissions.</w:t>
      </w:r>
    </w:p>
    <w:p>
      <w:pPr>
        <w:spacing w:after="40"/>
      </w:pPr>
      <w:r>
        <w:rPr>
          <w:b/>
          <w:color w:val="005840"/>
        </w:rPr>
        <w:t>ACC-004 — Break-glass and delegated sessions [P1]</w:t>
      </w:r>
    </w:p>
    <w:p>
      <w:r>
        <w:t>Support request, approval, active session banner and expiry countdown; heavily log elevated access.</w:t>
      </w:r>
    </w:p>
    <w:p>
      <w:pPr>
        <w:ind w:left="288"/>
      </w:pPr>
      <w:r>
        <w:rPr>
          <w:b/>
        </w:rPr>
        <w:t xml:space="preserve">Acceptance: </w:t>
      </w:r>
      <w:r>
        <w:t>An elevated user can always tell when elevation is active and when it expires.</w:t>
      </w:r>
    </w:p>
    <w:p>
      <w:pPr>
        <w:spacing w:after="40"/>
      </w:pPr>
      <w:r>
        <w:rPr>
          <w:b/>
          <w:color w:val="005840"/>
        </w:rPr>
        <w:t>ACC-005 — Insights [P2]</w:t>
      </w:r>
    </w:p>
    <w:p>
      <w:r>
        <w:t>Provide anomaly detection and assisted policy drafting. Generated policy must always be shown and editable before saving.</w:t>
      </w:r>
    </w:p>
    <w:p>
      <w:pPr>
        <w:ind w:left="288"/>
      </w:pPr>
      <w:r>
        <w:rPr>
          <w:b/>
        </w:rPr>
        <w:t xml:space="preserve">Acceptance: </w:t>
      </w:r>
      <w:r>
        <w:t>Natural-language policy assistance never silently persists generated policy.</w:t>
      </w:r>
    </w:p>
    <w:p>
      <w:pPr>
        <w:pStyle w:val="Heading2"/>
      </w:pPr>
      <w:r>
        <w:t>14.2 VargHelp</w:t>
      </w:r>
    </w:p>
    <w:p>
      <w:pPr>
        <w:spacing w:after="40"/>
      </w:pPr>
      <w:r>
        <w:rPr>
          <w:b/>
          <w:color w:val="005840"/>
        </w:rPr>
        <w:t>HELP-001 — Internal authoring [P2]</w:t>
      </w:r>
    </w:p>
    <w:p>
      <w:r>
        <w:t>Support article list, rich-text editor, draft/published states, categories and tags.</w:t>
      </w:r>
    </w:p>
    <w:p>
      <w:pPr>
        <w:ind w:left="288"/>
      </w:pPr>
      <w:r>
        <w:rPr>
          <w:b/>
        </w:rPr>
        <w:t xml:space="preserve">Acceptance: </w:t>
      </w:r>
      <w:r>
        <w:t>Publish and unpublish are distinct actions.</w:t>
      </w:r>
    </w:p>
    <w:p>
      <w:pPr>
        <w:spacing w:after="40"/>
      </w:pPr>
      <w:r>
        <w:rPr>
          <w:b/>
          <w:color w:val="005840"/>
        </w:rPr>
        <w:t>HELP-002 — Public portal [P2]</w:t>
      </w:r>
    </w:p>
    <w:p>
      <w:r>
        <w:t>Provide tenant-scoped article browsing, category navigation, search, article detail, feedback and ask experience in a standalone brandable frame.</w:t>
      </w:r>
    </w:p>
    <w:p>
      <w:pPr>
        <w:ind w:left="288"/>
      </w:pPr>
      <w:r>
        <w:rPr>
          <w:b/>
        </w:rPr>
        <w:t xml:space="preserve">Acceptance: </w:t>
      </w:r>
      <w:r>
        <w:t>No authenticated product shell is exposed.</w:t>
      </w:r>
    </w:p>
    <w:p>
      <w:pPr>
        <w:spacing w:after="40"/>
      </w:pPr>
      <w:r>
        <w:rPr>
          <w:b/>
          <w:color w:val="005840"/>
        </w:rPr>
        <w:t>HELP-003 — Ask with citations [P2]</w:t>
      </w:r>
    </w:p>
    <w:p>
      <w:r>
        <w:t>Return retrieval-grounded answers with inline source links and an escalation path into a support ticket.</w:t>
      </w:r>
    </w:p>
    <w:p>
      <w:pPr>
        <w:ind w:left="288"/>
      </w:pPr>
      <w:r>
        <w:rPr>
          <w:b/>
        </w:rPr>
        <w:t xml:space="preserve">Acceptance: </w:t>
      </w:r>
      <w:r>
        <w:t>Citations are visible and role-filtered for internal users.</w:t>
      </w:r>
    </w:p>
    <w:p>
      <w:pPr>
        <w:pStyle w:val="Heading2"/>
      </w:pPr>
      <w:r>
        <w:t>14.3 Tenant Administration</w:t>
      </w:r>
    </w:p>
    <w:p>
      <w:pPr>
        <w:spacing w:after="40"/>
      </w:pPr>
      <w:r>
        <w:rPr>
          <w:b/>
          <w:color w:val="005840"/>
        </w:rPr>
        <w:t>TEN-001 — Tenant configuration [P2]</w:t>
      </w:r>
    </w:p>
    <w:p>
      <w:r>
        <w:t>Support tenant profile, business profile, domains, MFA policy, entitlements, SSO configuration and SCIM configuration.</w:t>
      </w:r>
    </w:p>
    <w:p>
      <w:pPr>
        <w:ind w:left="288"/>
      </w:pPr>
      <w:r>
        <w:rPr>
          <w:b/>
        </w:rPr>
        <w:t xml:space="preserve">Acceptance: </w:t>
      </w:r>
      <w:r>
        <w:t>Administrative settings expose the relevant tenant controls without introducing a separate application shell.</w:t>
      </w:r>
    </w:p>
    <w:p>
      <w:pPr>
        <w:pStyle w:val="Heading1"/>
      </w:pPr>
      <w:r>
        <w:t>15. Public / Unauthenticated Experiences</w:t>
      </w:r>
    </w:p>
    <w:p>
      <w:pPr>
        <w:pStyle w:val="ListBullet"/>
        <w:spacing w:after="40"/>
      </w:pPr>
      <w:r>
        <w:t>Public help portal: tenant-scoped, lighter/brandable, no authenticated shell, mobile-first.</w:t>
      </w:r>
    </w:p>
    <w:p>
      <w:pPr>
        <w:pStyle w:val="ListBullet"/>
        <w:spacing w:after="40"/>
      </w:pPr>
      <w:r>
        <w:t>CSAT survey: one question, one screen, no shell, mobile-first, thank-you state.</w:t>
      </w:r>
    </w:p>
    <w:p>
      <w:pPr>
        <w:pStyle w:val="ListBullet"/>
        <w:spacing w:after="40"/>
      </w:pPr>
      <w:r>
        <w:t>Payment return: redirecting-to-pay interstitial plus success, failure and pending-confirmation states.</w:t>
      </w:r>
    </w:p>
    <w:p>
      <w:pPr>
        <w:pStyle w:val="ListBullet"/>
        <w:spacing w:after="40"/>
      </w:pPr>
      <w:r>
        <w:t>Guest identity: stripped shell, no app switcher/sidebar, one task.</w:t>
      </w:r>
    </w:p>
    <w:p>
      <w:pPr>
        <w:pStyle w:val="Heading1"/>
      </w:pPr>
      <w:r>
        <w:t>16. State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F2EE"/>
          </w:tcPr>
          <w:p>
            <w:r/>
            <w:r>
              <w:rPr>
                <w:b/>
                <w:sz w:val="17"/>
              </w:rPr>
              <w:t>State</w:t>
            </w:r>
          </w:p>
        </w:tc>
        <w:tc>
          <w:tcPr>
            <w:tcW w:type="dxa" w:w="5040"/>
            <w:vAlign w:val="center"/>
            <w:shd w:fill="E7F2EE"/>
          </w:tcPr>
          <w:p>
            <w:r/>
            <w:r>
              <w:rPr>
                <w:b/>
                <w:sz w:val="17"/>
              </w:rPr>
              <w:t>Requirement</w:t>
            </w:r>
          </w:p>
        </w:tc>
      </w:tr>
      <w:tr>
        <w:tc>
          <w:tcPr>
            <w:tcW w:type="dxa" w:w="5040"/>
            <w:vAlign w:val="center"/>
          </w:tcPr>
          <w:p>
            <w:r/>
            <w:r>
              <w:rPr>
                <w:b w:val="0"/>
                <w:sz w:val="17"/>
              </w:rPr>
              <w:t>Loading</w:t>
            </w:r>
          </w:p>
        </w:tc>
        <w:tc>
          <w:tcPr>
            <w:tcW w:type="dxa" w:w="5040"/>
            <w:vAlign w:val="center"/>
          </w:tcPr>
          <w:p>
            <w:r/>
            <w:r>
              <w:rPr>
                <w:b w:val="0"/>
                <w:sz w:val="17"/>
              </w:rPr>
              <w:t>Skeleton matching the final layout; do not use a centered full-page spinner.</w:t>
            </w:r>
          </w:p>
        </w:tc>
      </w:tr>
      <w:tr>
        <w:tc>
          <w:tcPr>
            <w:tcW w:type="dxa" w:w="5040"/>
            <w:vAlign w:val="center"/>
          </w:tcPr>
          <w:p>
            <w:r/>
            <w:r>
              <w:rPr>
                <w:b w:val="0"/>
                <w:sz w:val="17"/>
              </w:rPr>
              <w:t>Empty — first run</w:t>
            </w:r>
          </w:p>
        </w:tc>
        <w:tc>
          <w:tcPr>
            <w:tcW w:type="dxa" w:w="5040"/>
            <w:vAlign w:val="center"/>
          </w:tcPr>
          <w:p>
            <w:r/>
            <w:r>
              <w:rPr>
                <w:b w:val="0"/>
                <w:sz w:val="17"/>
              </w:rPr>
              <w:t>Explain that no data exists yet and provide the primary action.</w:t>
            </w:r>
          </w:p>
        </w:tc>
      </w:tr>
      <w:tr>
        <w:tc>
          <w:tcPr>
            <w:tcW w:type="dxa" w:w="5040"/>
            <w:vAlign w:val="center"/>
          </w:tcPr>
          <w:p>
            <w:r/>
            <w:r>
              <w:rPr>
                <w:b w:val="0"/>
                <w:sz w:val="17"/>
              </w:rPr>
              <w:t>Empty — no results</w:t>
            </w:r>
          </w:p>
        </w:tc>
        <w:tc>
          <w:tcPr>
            <w:tcW w:type="dxa" w:w="5040"/>
            <w:vAlign w:val="center"/>
          </w:tcPr>
          <w:p>
            <w:r/>
            <w:r>
              <w:rPr>
                <w:b w:val="0"/>
                <w:sz w:val="17"/>
              </w:rPr>
              <w:t>Explain that filters excluded results and offer clear-filters action.</w:t>
            </w:r>
          </w:p>
        </w:tc>
      </w:tr>
      <w:tr>
        <w:tc>
          <w:tcPr>
            <w:tcW w:type="dxa" w:w="5040"/>
            <w:vAlign w:val="center"/>
          </w:tcPr>
          <w:p>
            <w:r/>
            <w:r>
              <w:rPr>
                <w:b w:val="0"/>
                <w:sz w:val="17"/>
              </w:rPr>
              <w:t>Populated</w:t>
            </w:r>
          </w:p>
        </w:tc>
        <w:tc>
          <w:tcPr>
            <w:tcW w:type="dxa" w:w="5040"/>
            <w:vAlign w:val="center"/>
          </w:tcPr>
          <w:p>
            <w:r/>
            <w:r>
              <w:rPr>
                <w:b w:val="0"/>
                <w:sz w:val="17"/>
              </w:rPr>
              <w:t>Normal usable state.</w:t>
            </w:r>
          </w:p>
        </w:tc>
      </w:tr>
      <w:tr>
        <w:tc>
          <w:tcPr>
            <w:tcW w:type="dxa" w:w="5040"/>
            <w:vAlign w:val="center"/>
          </w:tcPr>
          <w:p>
            <w:r/>
            <w:r>
              <w:rPr>
                <w:b w:val="0"/>
                <w:sz w:val="17"/>
              </w:rPr>
              <w:t>Error</w:t>
            </w:r>
          </w:p>
        </w:tc>
        <w:tc>
          <w:tcPr>
            <w:tcW w:type="dxa" w:w="5040"/>
            <w:vAlign w:val="center"/>
          </w:tcPr>
          <w:p>
            <w:r/>
            <w:r>
              <w:rPr>
                <w:b w:val="0"/>
                <w:sz w:val="17"/>
              </w:rPr>
              <w:t>Use the error taxonomy and relevant recovery.</w:t>
            </w:r>
          </w:p>
        </w:tc>
      </w:tr>
      <w:tr>
        <w:tc>
          <w:tcPr>
            <w:tcW w:type="dxa" w:w="5040"/>
            <w:vAlign w:val="center"/>
          </w:tcPr>
          <w:p>
            <w:r/>
            <w:r>
              <w:rPr>
                <w:b w:val="0"/>
                <w:sz w:val="17"/>
              </w:rPr>
              <w:t>Permission denied</w:t>
            </w:r>
          </w:p>
        </w:tc>
        <w:tc>
          <w:tcPr>
            <w:tcW w:type="dxa" w:w="5040"/>
            <w:vAlign w:val="center"/>
          </w:tcPr>
          <w:p>
            <w:r/>
            <w:r>
              <w:rPr>
                <w:b w:val="0"/>
                <w:sz w:val="17"/>
              </w:rPr>
              <w:t>Explain who/what is required; do not use generic 'Forbidden' only.</w:t>
            </w:r>
          </w:p>
        </w:tc>
      </w:tr>
      <w:tr>
        <w:tc>
          <w:tcPr>
            <w:tcW w:type="dxa" w:w="5040"/>
            <w:vAlign w:val="center"/>
          </w:tcPr>
          <w:p>
            <w:r/>
            <w:r>
              <w:rPr>
                <w:b w:val="0"/>
                <w:sz w:val="17"/>
              </w:rPr>
              <w:t>Upgrade required</w:t>
            </w:r>
          </w:p>
        </w:tc>
        <w:tc>
          <w:tcPr>
            <w:tcW w:type="dxa" w:w="5040"/>
            <w:vAlign w:val="center"/>
          </w:tcPr>
          <w:p>
            <w:r/>
            <w:r>
              <w:rPr>
                <w:b w:val="0"/>
                <w:sz w:val="17"/>
              </w:rPr>
              <w:t>Name the plan tier and action needed; visually distinct from permission denial.</w:t>
            </w:r>
          </w:p>
        </w:tc>
      </w:tr>
    </w:tbl>
    <w:p/>
    <w:p>
      <w:pPr>
        <w:pStyle w:val="Heading1"/>
      </w:pPr>
      <w:r>
        <w:t>17. Accessibility Requirements</w:t>
      </w:r>
    </w:p>
    <w:p>
      <w:pPr>
        <w:pStyle w:val="ListBullet"/>
        <w:spacing w:after="40"/>
      </w:pPr>
      <w:r>
        <w:t>WCAG 2.1 AA is a product requirement.</w:t>
      </w:r>
    </w:p>
    <w:p>
      <w:pPr>
        <w:pStyle w:val="ListBullet"/>
        <w:spacing w:after="40"/>
      </w:pPr>
      <w:r>
        <w:t>Body text contrast: 4.5:1 minimum; large text and UI boundaries: 3:1.</w:t>
      </w:r>
    </w:p>
    <w:p>
      <w:pPr>
        <w:pStyle w:val="ListBullet"/>
        <w:spacing w:after="40"/>
      </w:pPr>
      <w:r>
        <w:t>Never encode meaning through color alone; status pills include words and error states include icons.</w:t>
      </w:r>
    </w:p>
    <w:p>
      <w:pPr>
        <w:pStyle w:val="ListBullet"/>
        <w:spacing w:after="40"/>
      </w:pPr>
      <w:r>
        <w:t>All interactive elements are keyboard-operable with visible focus rings and logical tab order.</w:t>
      </w:r>
    </w:p>
    <w:p>
      <w:pPr>
        <w:pStyle w:val="ListBullet"/>
        <w:spacing w:after="40"/>
      </w:pPr>
      <w:r>
        <w:t>Escape closes overlays.</w:t>
      </w:r>
    </w:p>
    <w:p>
      <w:pPr>
        <w:pStyle w:val="ListBullet"/>
        <w:spacing w:after="40"/>
      </w:pPr>
      <w:r>
        <w:t>Mobile-targeted interactive elements have 44×44px minimum touch targets.</w:t>
      </w:r>
    </w:p>
    <w:p>
      <w:pPr>
        <w:pStyle w:val="ListBullet"/>
        <w:spacing w:after="40"/>
      </w:pPr>
      <w:r>
        <w:t>Reduced-motion behavior must be designed for specified animations.</w:t>
      </w:r>
    </w:p>
    <w:p>
      <w:pPr>
        <w:pStyle w:val="ListBullet"/>
        <w:spacing w:after="40"/>
      </w:pPr>
      <w:r>
        <w:t>The lime brand secondary must not be used for text on white.</w:t>
      </w:r>
    </w:p>
    <w:p>
      <w:pPr>
        <w:pStyle w:val="Heading1"/>
      </w:pPr>
      <w:r>
        <w:t>18. Responsive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F2EE"/>
          </w:tcPr>
          <w:p>
            <w:r/>
            <w:r>
              <w:rPr>
                <w:b/>
                <w:sz w:val="17"/>
              </w:rPr>
              <w:t>Breakpoint</w:t>
            </w:r>
          </w:p>
        </w:tc>
        <w:tc>
          <w:tcPr>
            <w:tcW w:type="dxa" w:w="5040"/>
            <w:vAlign w:val="center"/>
            <w:shd w:fill="E7F2EE"/>
          </w:tcPr>
          <w:p>
            <w:r/>
            <w:r>
              <w:rPr>
                <w:b/>
                <w:sz w:val="17"/>
              </w:rPr>
              <w:t>Requirement</w:t>
            </w:r>
          </w:p>
        </w:tc>
      </w:tr>
      <w:tr>
        <w:tc>
          <w:tcPr>
            <w:tcW w:type="dxa" w:w="5040"/>
            <w:vAlign w:val="center"/>
          </w:tcPr>
          <w:p>
            <w:r/>
            <w:r>
              <w:rPr>
                <w:b w:val="0"/>
                <w:sz w:val="17"/>
              </w:rPr>
              <w:t>1440px</w:t>
            </w:r>
          </w:p>
        </w:tc>
        <w:tc>
          <w:tcPr>
            <w:tcW w:type="dxa" w:w="5040"/>
            <w:vAlign w:val="center"/>
          </w:tcPr>
          <w:p>
            <w:r/>
            <w:r>
              <w:rPr>
                <w:b w:val="0"/>
                <w:sz w:val="17"/>
              </w:rPr>
              <w:t>Primary design width.</w:t>
            </w:r>
          </w:p>
        </w:tc>
      </w:tr>
      <w:tr>
        <w:tc>
          <w:tcPr>
            <w:tcW w:type="dxa" w:w="5040"/>
            <w:vAlign w:val="center"/>
          </w:tcPr>
          <w:p>
            <w:r/>
            <w:r>
              <w:rPr>
                <w:b w:val="0"/>
                <w:sz w:val="17"/>
              </w:rPr>
              <w:t>1280px</w:t>
            </w:r>
          </w:p>
        </w:tc>
        <w:tc>
          <w:tcPr>
            <w:tcW w:type="dxa" w:w="5040"/>
            <w:vAlign w:val="center"/>
          </w:tcPr>
          <w:p>
            <w:r/>
            <w:r>
              <w:rPr>
                <w:b w:val="0"/>
                <w:sz w:val="17"/>
              </w:rPr>
              <w:t>Every screen must work without horizontal scrolling.</w:t>
            </w:r>
          </w:p>
        </w:tc>
      </w:tr>
      <w:tr>
        <w:tc>
          <w:tcPr>
            <w:tcW w:type="dxa" w:w="5040"/>
            <w:vAlign w:val="center"/>
          </w:tcPr>
          <w:p>
            <w:r/>
            <w:r>
              <w:rPr>
                <w:b w:val="0"/>
                <w:sz w:val="17"/>
              </w:rPr>
              <w:t>768px</w:t>
            </w:r>
          </w:p>
        </w:tc>
        <w:tc>
          <w:tcPr>
            <w:tcW w:type="dxa" w:w="5040"/>
            <w:vAlign w:val="center"/>
          </w:tcPr>
          <w:p>
            <w:r/>
            <w:r>
              <w:rPr>
                <w:b w:val="0"/>
                <w:sz w:val="17"/>
              </w:rPr>
              <w:t>Tablet target for helpdesk and approvals inbox; three-pane layouts become two panes.</w:t>
            </w:r>
          </w:p>
        </w:tc>
      </w:tr>
      <w:tr>
        <w:tc>
          <w:tcPr>
            <w:tcW w:type="dxa" w:w="5040"/>
            <w:vAlign w:val="center"/>
          </w:tcPr>
          <w:p>
            <w:r/>
            <w:r>
              <w:rPr>
                <w:b w:val="0"/>
                <w:sz w:val="17"/>
              </w:rPr>
              <w:t>390px</w:t>
            </w:r>
          </w:p>
        </w:tc>
        <w:tc>
          <w:tcPr>
            <w:tcW w:type="dxa" w:w="5040"/>
            <w:vAlign w:val="center"/>
          </w:tcPr>
          <w:p>
            <w:r/>
            <w:r>
              <w:rPr>
                <w:b w:val="0"/>
                <w:sz w:val="17"/>
              </w:rPr>
              <w:t>Required for sign-in, MFA, notification feed, approvals inbox and public/unauthenticated pages.</w:t>
            </w:r>
          </w:p>
        </w:tc>
      </w:tr>
    </w:tbl>
    <w:p/>
    <w:p>
      <w:r>
        <w:t>Wide finance tables should horizontally scroll with a sticky first column rather than reflow into cards, because users compare columns.</w:t>
      </w:r>
    </w:p>
    <w:p>
      <w:pPr>
        <w:pStyle w:val="Heading1"/>
      </w:pPr>
      <w:r>
        <w:t>19. Localization and Data Formatting</w:t>
      </w:r>
    </w:p>
    <w:p>
      <w:pPr>
        <w:pStyle w:val="ListBullet"/>
        <w:spacing w:after="40"/>
      </w:pPr>
      <w:r>
        <w:t>Primary market: Nigeria.</w:t>
      </w:r>
    </w:p>
    <w:p>
      <w:pPr>
        <w:pStyle w:val="ListBullet"/>
        <w:spacing w:after="40"/>
      </w:pPr>
      <w:r>
        <w:t>Language: English for now.</w:t>
      </w:r>
    </w:p>
    <w:p>
      <w:pPr>
        <w:pStyle w:val="ListBullet"/>
        <w:spacing w:after="40"/>
      </w:pPr>
      <w:r>
        <w:t>Currency: Naira (₦) by default; multi-currency is supported.</w:t>
      </w:r>
    </w:p>
    <w:p>
      <w:pPr>
        <w:pStyle w:val="ListBullet"/>
        <w:spacing w:after="40"/>
      </w:pPr>
      <w:r>
        <w:t>Amounts use integer minor units and always display currency symbol/code.</w:t>
      </w:r>
    </w:p>
    <w:p>
      <w:pPr>
        <w:pStyle w:val="ListBullet"/>
        <w:spacing w:after="40"/>
      </w:pPr>
      <w:r>
        <w:t>Dates use day-month-year.</w:t>
      </w:r>
    </w:p>
    <w:p>
      <w:pPr>
        <w:pStyle w:val="ListBullet"/>
        <w:spacing w:after="40"/>
      </w:pPr>
      <w:r>
        <w:t>Relative time is limited to feeds/threads and should expose the absolute date on hover.</w:t>
      </w:r>
    </w:p>
    <w:p>
      <w:pPr>
        <w:pStyle w:val="ListBullet"/>
        <w:spacing w:after="40"/>
      </w:pPr>
      <w:r>
        <w:t>VAT and withholding tax are separate lines on invoices.</w:t>
      </w:r>
    </w:p>
    <w:p>
      <w:pPr>
        <w:pStyle w:val="ListBullet"/>
        <w:spacing w:after="40"/>
      </w:pPr>
      <w:r>
        <w:t>Numbers use thousands separators and are right-aligned/monospace in tables.</w:t>
      </w:r>
    </w:p>
    <w:p>
      <w:pPr>
        <w:pStyle w:val="ListBullet"/>
        <w:spacing w:after="40"/>
      </w:pPr>
      <w:r>
        <w:t>Snowflake IDs are 26-character strings; truncate them in tables with copy action and never expose raw IDs in prose.</w:t>
      </w:r>
    </w:p>
    <w:p>
      <w:pPr>
        <w:pStyle w:val="Heading1"/>
      </w:pPr>
      <w:r>
        <w:t>20. Data and API Integration Requirements</w:t>
      </w:r>
    </w:p>
    <w:p>
      <w:r>
        <w:t>The PRD is grounded in an existing API. The design process must therefore annotate each Figma screen with the endpoint(s) it reads and writes, rather than treating API behavior as a later engineering concern.</w:t>
      </w:r>
    </w:p>
    <w:p>
      <w:pPr>
        <w:pStyle w:val="ListBullet"/>
        <w:spacing w:after="40"/>
      </w:pPr>
      <w:r>
        <w:t>Use endpoint names and response states from the source brief as the basis for screen states.</w:t>
      </w:r>
    </w:p>
    <w:p>
      <w:pPr>
        <w:pStyle w:val="ListBullet"/>
        <w:spacing w:after="40"/>
      </w:pPr>
      <w:r>
        <w:t>Do not invent unsupported backend states without flagging them as product/API gaps.</w:t>
      </w:r>
    </w:p>
    <w:p>
      <w:pPr>
        <w:pStyle w:val="ListBullet"/>
        <w:spacing w:after="40"/>
      </w:pPr>
      <w:r>
        <w:t>Use shared patterns for dynamic custom fields, activities, permissions, error envelopes, pagination and file uploads.</w:t>
      </w:r>
    </w:p>
    <w:p>
      <w:pPr>
        <w:pStyle w:val="ListBullet"/>
        <w:spacing w:after="40"/>
      </w:pPr>
      <w:r>
        <w:t>Represent asynchronous operations explicitly where the API describes asynchronous behavior, including workspace assembly, imports, file uploads, anomaly detection and payment settlement.</w:t>
      </w:r>
    </w:p>
    <w:p>
      <w:pPr>
        <w:pStyle w:val="ListBullet"/>
        <w:spacing w:after="40"/>
      </w:pPr>
      <w:r>
        <w:t>Realtime events must be treated as incremental updates that do not unexpectedly reorder content under the user.</w:t>
      </w:r>
    </w:p>
    <w:p>
      <w:pPr>
        <w:pStyle w:val="Heading1"/>
      </w:pPr>
      <w:r>
        <w:t>21. Figma Deliverable Specification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F2EE"/>
          </w:tcPr>
          <w:p>
            <w:r/>
            <w:r>
              <w:rPr>
                <w:b/>
                <w:sz w:val="17"/>
              </w:rPr>
              <w:t>Page</w:t>
            </w:r>
          </w:p>
        </w:tc>
        <w:tc>
          <w:tcPr>
            <w:tcW w:type="dxa" w:w="5040"/>
            <w:vAlign w:val="center"/>
            <w:shd w:fill="E7F2EE"/>
          </w:tcPr>
          <w:p>
            <w:r/>
            <w:r>
              <w:rPr>
                <w:b/>
                <w:sz w:val="17"/>
              </w:rPr>
              <w:t>Contents</w:t>
            </w:r>
          </w:p>
        </w:tc>
      </w:tr>
      <w:tr>
        <w:tc>
          <w:tcPr>
            <w:tcW w:type="dxa" w:w="5040"/>
            <w:vAlign w:val="center"/>
          </w:tcPr>
          <w:p>
            <w:r/>
            <w:r>
              <w:rPr>
                <w:b w:val="0"/>
                <w:sz w:val="17"/>
              </w:rPr>
              <w:t>1. Cover</w:t>
            </w:r>
          </w:p>
        </w:tc>
        <w:tc>
          <w:tcPr>
            <w:tcW w:type="dxa" w:w="5040"/>
            <w:vAlign w:val="center"/>
          </w:tcPr>
          <w:p>
            <w:r/>
            <w:r>
              <w:rPr>
                <w:b w:val="0"/>
                <w:sz w:val="17"/>
              </w:rPr>
              <w:t>Status, version, owner/contact.</w:t>
            </w:r>
          </w:p>
        </w:tc>
      </w:tr>
      <w:tr>
        <w:tc>
          <w:tcPr>
            <w:tcW w:type="dxa" w:w="5040"/>
            <w:vAlign w:val="center"/>
          </w:tcPr>
          <w:p>
            <w:r/>
            <w:r>
              <w:rPr>
                <w:b w:val="0"/>
                <w:sz w:val="17"/>
              </w:rPr>
              <w:t>2. Foundations</w:t>
            </w:r>
          </w:p>
        </w:tc>
        <w:tc>
          <w:tcPr>
            <w:tcW w:type="dxa" w:w="5040"/>
            <w:vAlign w:val="center"/>
          </w:tcPr>
          <w:p>
            <w:r/>
            <w:r>
              <w:rPr>
                <w:b w:val="0"/>
                <w:sz w:val="17"/>
              </w:rPr>
              <w:t>Existing variables, type scale, spacing, elevation, icons.</w:t>
            </w:r>
          </w:p>
        </w:tc>
      </w:tr>
      <w:tr>
        <w:tc>
          <w:tcPr>
            <w:tcW w:type="dxa" w:w="5040"/>
            <w:vAlign w:val="center"/>
          </w:tcPr>
          <w:p>
            <w:r/>
            <w:r>
              <w:rPr>
                <w:b w:val="0"/>
                <w:sz w:val="17"/>
              </w:rPr>
              <w:t>3. Components</w:t>
            </w:r>
          </w:p>
        </w:tc>
        <w:tc>
          <w:tcPr>
            <w:tcW w:type="dxa" w:w="5040"/>
            <w:vAlign w:val="center"/>
          </w:tcPr>
          <w:p>
            <w:r/>
            <w:r>
              <w:rPr>
                <w:b w:val="0"/>
                <w:sz w:val="17"/>
              </w:rPr>
              <w:t>Full component library with variants and usage notes.</w:t>
            </w:r>
          </w:p>
        </w:tc>
      </w:tr>
      <w:tr>
        <w:tc>
          <w:tcPr>
            <w:tcW w:type="dxa" w:w="5040"/>
            <w:vAlign w:val="center"/>
          </w:tcPr>
          <w:p>
            <w:r/>
            <w:r>
              <w:rPr>
                <w:b w:val="0"/>
                <w:sz w:val="17"/>
              </w:rPr>
              <w:t>4. Patterns</w:t>
            </w:r>
          </w:p>
        </w:tc>
        <w:tc>
          <w:tcPr>
            <w:tcW w:type="dxa" w:w="5040"/>
            <w:vAlign w:val="center"/>
          </w:tcPr>
          <w:p>
            <w:r/>
            <w:r>
              <w:rPr>
                <w:b w:val="0"/>
                <w:sz w:val="17"/>
              </w:rPr>
              <w:t>Seven states, forms, table anatomy, conversation workspace, permission gating.</w:t>
            </w:r>
          </w:p>
        </w:tc>
      </w:tr>
      <w:tr>
        <w:tc>
          <w:tcPr>
            <w:tcW w:type="dxa" w:w="5040"/>
            <w:vAlign w:val="center"/>
          </w:tcPr>
          <w:p>
            <w:r/>
            <w:r>
              <w:rPr>
                <w:b w:val="0"/>
                <w:sz w:val="17"/>
              </w:rPr>
              <w:t>5. Shell</w:t>
            </w:r>
          </w:p>
        </w:tc>
        <w:tc>
          <w:tcPr>
            <w:tcW w:type="dxa" w:w="5040"/>
            <w:vAlign w:val="center"/>
          </w:tcPr>
          <w:p>
            <w:r/>
            <w:r>
              <w:rPr>
                <w:b w:val="0"/>
                <w:sz w:val="17"/>
              </w:rPr>
              <w:t>Navigation, app switcher, responsive behavior.</w:t>
            </w:r>
          </w:p>
        </w:tc>
      </w:tr>
      <w:tr>
        <w:tc>
          <w:tcPr>
            <w:tcW w:type="dxa" w:w="5040"/>
            <w:vAlign w:val="center"/>
          </w:tcPr>
          <w:p>
            <w:r/>
            <w:r>
              <w:rPr>
                <w:b w:val="0"/>
                <w:sz w:val="17"/>
              </w:rPr>
              <w:t>6. App pages</w:t>
            </w:r>
          </w:p>
        </w:tc>
        <w:tc>
          <w:tcPr>
            <w:tcW w:type="dxa" w:w="5040"/>
            <w:vAlign w:val="center"/>
          </w:tcPr>
          <w:p>
            <w:r/>
            <w:r>
              <w:rPr>
                <w:b w:val="0"/>
                <w:sz w:val="17"/>
              </w:rPr>
              <w:t>VargID, Onboarding, VargCore, Access, VargFlow, VargBooks, VargPay, VargTax, VargDesk, VargMail, VargHelp, VargNotify.</w:t>
            </w:r>
          </w:p>
        </w:tc>
      </w:tr>
      <w:tr>
        <w:tc>
          <w:tcPr>
            <w:tcW w:type="dxa" w:w="5040"/>
            <w:vAlign w:val="center"/>
          </w:tcPr>
          <w:p>
            <w:r/>
            <w:r>
              <w:rPr>
                <w:b w:val="0"/>
                <w:sz w:val="17"/>
              </w:rPr>
              <w:t>7. Public surfaces</w:t>
            </w:r>
          </w:p>
        </w:tc>
        <w:tc>
          <w:tcPr>
            <w:tcW w:type="dxa" w:w="5040"/>
            <w:vAlign w:val="center"/>
          </w:tcPr>
          <w:p>
            <w:r/>
            <w:r>
              <w:rPr>
                <w:b w:val="0"/>
                <w:sz w:val="17"/>
              </w:rPr>
              <w:t>Help portal, CSAT, payment return.</w:t>
            </w:r>
          </w:p>
        </w:tc>
      </w:tr>
      <w:tr>
        <w:tc>
          <w:tcPr>
            <w:tcW w:type="dxa" w:w="5040"/>
            <w:vAlign w:val="center"/>
          </w:tcPr>
          <w:p>
            <w:r/>
            <w:r>
              <w:rPr>
                <w:b w:val="0"/>
                <w:sz w:val="17"/>
              </w:rPr>
              <w:t>8. Prototypes</w:t>
            </w:r>
          </w:p>
        </w:tc>
        <w:tc>
          <w:tcPr>
            <w:tcW w:type="dxa" w:w="5040"/>
            <w:vAlign w:val="center"/>
          </w:tcPr>
          <w:p>
            <w:r/>
            <w:r>
              <w:rPr>
                <w:b w:val="0"/>
                <w:sz w:val="17"/>
              </w:rPr>
              <w:t>Three specified end-to-end flows.</w:t>
            </w:r>
          </w:p>
        </w:tc>
      </w:tr>
      <w:tr>
        <w:tc>
          <w:tcPr>
            <w:tcW w:type="dxa" w:w="5040"/>
            <w:vAlign w:val="center"/>
          </w:tcPr>
          <w:p>
            <w:r/>
            <w:r>
              <w:rPr>
                <w:b w:val="0"/>
                <w:sz w:val="17"/>
              </w:rPr>
              <w:t>9. Archive</w:t>
            </w:r>
          </w:p>
        </w:tc>
        <w:tc>
          <w:tcPr>
            <w:tcW w:type="dxa" w:w="5040"/>
            <w:vAlign w:val="center"/>
          </w:tcPr>
          <w:p>
            <w:r/>
            <w:r>
              <w:rPr>
                <w:b w:val="0"/>
                <w:sz w:val="17"/>
              </w:rPr>
              <w:t>Superseded work; never delete.</w:t>
            </w:r>
          </w:p>
        </w:tc>
      </w:tr>
    </w:tbl>
    <w:p/>
    <w:p>
      <w:r>
        <w:t>Naming convention: frames use [App] / [Screen] / [State]. Components use Category/Name. The naming must be searchable using developer terminology.</w:t>
      </w:r>
    </w:p>
    <w:p>
      <w:pPr>
        <w:pStyle w:val="Heading1"/>
      </w:pPr>
      <w:r>
        <w:t>22. Required Screen Deliverables</w:t>
      </w:r>
    </w:p>
    <w:p>
      <w:pPr>
        <w:pStyle w:val="ListBullet"/>
        <w:spacing w:after="40"/>
      </w:pPr>
      <w:r>
        <w:t>All seven applicable states, or an explicit note explaining why a state does not apply.</w:t>
      </w:r>
    </w:p>
    <w:p>
      <w:pPr>
        <w:pStyle w:val="ListBullet"/>
        <w:spacing w:after="40"/>
      </w:pPr>
      <w:r>
        <w:t>Endpoint annotation showing what the screen reads and writes.</w:t>
      </w:r>
    </w:p>
    <w:p>
      <w:pPr>
        <w:pStyle w:val="ListBullet"/>
        <w:spacing w:after="40"/>
      </w:pPr>
      <w:r>
        <w:t>Responsive frames for the screen's required breakpoints.</w:t>
      </w:r>
    </w:p>
    <w:p>
      <w:pPr>
        <w:pStyle w:val="ListBullet"/>
        <w:spacing w:after="40"/>
      </w:pPr>
      <w:r>
        <w:t>Keyboard behavior where not obvious.</w:t>
      </w:r>
    </w:p>
    <w:p>
      <w:pPr>
        <w:pStyle w:val="ListBullet"/>
        <w:spacing w:after="40"/>
      </w:pPr>
      <w:r>
        <w:t>Final empty and error copy; no lorem ipsum.</w:t>
      </w:r>
    </w:p>
    <w:p>
      <w:pPr>
        <w:pStyle w:val="Heading1"/>
      </w:pPr>
      <w:r>
        <w:t>23. Prototypes</w:t>
      </w:r>
    </w:p>
    <w:p>
      <w:pPr>
        <w:pStyle w:val="ListNumber"/>
        <w:spacing w:after="40"/>
      </w:pPr>
      <w:r>
        <w:t>Sign-up → setup wizard → working workspace.</w:t>
      </w:r>
    </w:p>
    <w:p>
      <w:pPr>
        <w:pStyle w:val="ListNumber"/>
        <w:spacing w:after="40"/>
      </w:pPr>
      <w:r>
        <w:t>Raise invoice → issue invoice → take payment.</w:t>
      </w:r>
    </w:p>
    <w:p>
      <w:pPr>
        <w:pStyle w:val="ListNumber"/>
        <w:spacing w:after="40"/>
      </w:pPr>
      <w:r>
        <w:t>Receive ticket → reply → resolve → send CSAT.</w:t>
      </w:r>
    </w:p>
    <w:p>
      <w:pPr>
        <w:pStyle w:val="Heading1"/>
      </w:pPr>
      <w:r>
        <w:t>24. Engineering Collaboration and Handoff</w:t>
      </w:r>
    </w:p>
    <w:p>
      <w:pPr>
        <w:pStyle w:val="ListBullet"/>
        <w:spacing w:after="40"/>
      </w:pPr>
      <w:r>
        <w:t>Existing coded components are the implementation baseline; Figma components should match their anatomy.</w:t>
      </w:r>
    </w:p>
    <w:p>
      <w:pPr>
        <w:pStyle w:val="ListBullet"/>
        <w:spacing w:after="40"/>
      </w:pPr>
      <w:r>
        <w:t>Design tokens must remain connected to the existing token system.</w:t>
      </w:r>
    </w:p>
    <w:p>
      <w:pPr>
        <w:pStyle w:val="ListBullet"/>
        <w:spacing w:after="40"/>
      </w:pPr>
      <w:r>
        <w:t>Every implemented screen should map back to a named Figma frame and endpoint annotation.</w:t>
      </w:r>
    </w:p>
    <w:p>
      <w:pPr>
        <w:pStyle w:val="ListBullet"/>
        <w:spacing w:after="40"/>
      </w:pPr>
      <w:r>
        <w:t>The design system should be treated as shared product infrastructure rather than a visual-only artifact.</w:t>
      </w:r>
    </w:p>
    <w:p>
      <w:pPr>
        <w:pStyle w:val="ListBullet"/>
        <w:spacing w:after="40"/>
      </w:pPr>
      <w:r>
        <w:t>Wave 1 foundations and shell must be reviewed before Wave 2 begins.</w:t>
      </w:r>
    </w:p>
    <w:p>
      <w:pPr>
        <w:pStyle w:val="ListBullet"/>
        <w:spacing w:after="40"/>
      </w:pPr>
      <w:r>
        <w:t>Superseded designs remain in Figma Archive rather than being deleted.</w:t>
      </w:r>
    </w:p>
    <w:p>
      <w:pPr>
        <w:pStyle w:val="Heading1"/>
      </w:pPr>
      <w:r>
        <w:t>25. Quality Assurance and Acceptance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F2EE"/>
          </w:tcPr>
          <w:p>
            <w:r/>
            <w:r>
              <w:rPr>
                <w:b/>
                <w:sz w:val="17"/>
              </w:rPr>
              <w:t>Area</w:t>
            </w:r>
          </w:p>
        </w:tc>
        <w:tc>
          <w:tcPr>
            <w:tcW w:type="dxa" w:w="5040"/>
            <w:vAlign w:val="center"/>
            <w:shd w:fill="E7F2EE"/>
          </w:tcPr>
          <w:p>
            <w:r/>
            <w:r>
              <w:rPr>
                <w:b/>
                <w:sz w:val="17"/>
              </w:rPr>
              <w:t>Acceptance criterion</w:t>
            </w:r>
          </w:p>
        </w:tc>
      </w:tr>
      <w:tr>
        <w:tc>
          <w:tcPr>
            <w:tcW w:type="dxa" w:w="5040"/>
            <w:vAlign w:val="center"/>
          </w:tcPr>
          <w:p>
            <w:r/>
            <w:r>
              <w:rPr>
                <w:b w:val="0"/>
                <w:sz w:val="17"/>
              </w:rPr>
              <w:t>Design system</w:t>
            </w:r>
          </w:p>
        </w:tc>
        <w:tc>
          <w:tcPr>
            <w:tcW w:type="dxa" w:w="5040"/>
            <w:vAlign w:val="center"/>
          </w:tcPr>
          <w:p>
            <w:r/>
            <w:r>
              <w:rPr>
                <w:b w:val="0"/>
                <w:sz w:val="17"/>
              </w:rPr>
              <w:t>Every required shared component exists with variants and is used by screens.</w:t>
            </w:r>
          </w:p>
        </w:tc>
      </w:tr>
      <w:tr>
        <w:tc>
          <w:tcPr>
            <w:tcW w:type="dxa" w:w="5040"/>
            <w:vAlign w:val="center"/>
          </w:tcPr>
          <w:p>
            <w:r/>
            <w:r>
              <w:rPr>
                <w:b w:val="0"/>
                <w:sz w:val="17"/>
              </w:rPr>
              <w:t>States</w:t>
            </w:r>
          </w:p>
        </w:tc>
        <w:tc>
          <w:tcPr>
            <w:tcW w:type="dxa" w:w="5040"/>
            <w:vAlign w:val="center"/>
          </w:tcPr>
          <w:p>
            <w:r/>
            <w:r>
              <w:rPr>
                <w:b w:val="0"/>
                <w:sz w:val="17"/>
              </w:rPr>
              <w:t>All Wave 1–3 screens have applicable seven-state coverage.</w:t>
            </w:r>
          </w:p>
        </w:tc>
      </w:tr>
      <w:tr>
        <w:tc>
          <w:tcPr>
            <w:tcW w:type="dxa" w:w="5040"/>
            <w:vAlign w:val="center"/>
          </w:tcPr>
          <w:p>
            <w:r/>
            <w:r>
              <w:rPr>
                <w:b w:val="0"/>
                <w:sz w:val="17"/>
              </w:rPr>
              <w:t>Tokens</w:t>
            </w:r>
          </w:p>
        </w:tc>
        <w:tc>
          <w:tcPr>
            <w:tcW w:type="dxa" w:w="5040"/>
            <w:vAlign w:val="center"/>
          </w:tcPr>
          <w:p>
            <w:r/>
            <w:r>
              <w:rPr>
                <w:b w:val="0"/>
                <w:sz w:val="17"/>
              </w:rPr>
              <w:t>Zero raw hex values on production Figma layers; values resolve to variables.</w:t>
            </w:r>
          </w:p>
        </w:tc>
      </w:tr>
      <w:tr>
        <w:tc>
          <w:tcPr>
            <w:tcW w:type="dxa" w:w="5040"/>
            <w:vAlign w:val="center"/>
          </w:tcPr>
          <w:p>
            <w:r/>
            <w:r>
              <w:rPr>
                <w:b w:val="0"/>
                <w:sz w:val="17"/>
              </w:rPr>
              <w:t>Accessibility</w:t>
            </w:r>
          </w:p>
        </w:tc>
        <w:tc>
          <w:tcPr>
            <w:tcW w:type="dxa" w:w="5040"/>
            <w:vAlign w:val="center"/>
          </w:tcPr>
          <w:p>
            <w:r/>
            <w:r>
              <w:rPr>
                <w:b w:val="0"/>
                <w:sz w:val="17"/>
              </w:rPr>
              <w:t>AA contrast and keyboard/focus requirements are checked.</w:t>
            </w:r>
          </w:p>
        </w:tc>
      </w:tr>
      <w:tr>
        <w:tc>
          <w:tcPr>
            <w:tcW w:type="dxa" w:w="5040"/>
            <w:vAlign w:val="center"/>
          </w:tcPr>
          <w:p>
            <w:r/>
            <w:r>
              <w:rPr>
                <w:b w:val="0"/>
                <w:sz w:val="17"/>
              </w:rPr>
              <w:t>Responsive</w:t>
            </w:r>
          </w:p>
        </w:tc>
        <w:tc>
          <w:tcPr>
            <w:tcW w:type="dxa" w:w="5040"/>
            <w:vAlign w:val="center"/>
          </w:tcPr>
          <w:p>
            <w:r/>
            <w:r>
              <w:rPr>
                <w:b w:val="0"/>
                <w:sz w:val="17"/>
              </w:rPr>
              <w:t>Required breakpoint frames are present and behavior is specified.</w:t>
            </w:r>
          </w:p>
        </w:tc>
      </w:tr>
      <w:tr>
        <w:tc>
          <w:tcPr>
            <w:tcW w:type="dxa" w:w="5040"/>
            <w:vAlign w:val="center"/>
          </w:tcPr>
          <w:p>
            <w:r/>
            <w:r>
              <w:rPr>
                <w:b w:val="0"/>
                <w:sz w:val="17"/>
              </w:rPr>
              <w:t>Prototype</w:t>
            </w:r>
          </w:p>
        </w:tc>
        <w:tc>
          <w:tcPr>
            <w:tcW w:type="dxa" w:w="5040"/>
            <w:vAlign w:val="center"/>
          </w:tcPr>
          <w:p>
            <w:r/>
            <w:r>
              <w:rPr>
                <w:b w:val="0"/>
                <w:sz w:val="17"/>
              </w:rPr>
              <w:t>Three specified flows run end to end without dead ends.</w:t>
            </w:r>
          </w:p>
        </w:tc>
      </w:tr>
      <w:tr>
        <w:tc>
          <w:tcPr>
            <w:tcW w:type="dxa" w:w="5040"/>
            <w:vAlign w:val="center"/>
          </w:tcPr>
          <w:p>
            <w:r/>
            <w:r>
              <w:rPr>
                <w:b w:val="0"/>
                <w:sz w:val="17"/>
              </w:rPr>
              <w:t>Engineering handoff</w:t>
            </w:r>
          </w:p>
        </w:tc>
        <w:tc>
          <w:tcPr>
            <w:tcW w:type="dxa" w:w="5040"/>
            <w:vAlign w:val="center"/>
          </w:tcPr>
          <w:p>
            <w:r/>
            <w:r>
              <w:rPr>
                <w:b w:val="0"/>
                <w:sz w:val="17"/>
              </w:rPr>
              <w:t>Developer can identify the endpoint(s) called by any frame.</w:t>
            </w:r>
          </w:p>
        </w:tc>
      </w:tr>
      <w:tr>
        <w:tc>
          <w:tcPr>
            <w:tcW w:type="dxa" w:w="5040"/>
            <w:vAlign w:val="center"/>
          </w:tcPr>
          <w:p>
            <w:r/>
            <w:r>
              <w:rPr>
                <w:b w:val="0"/>
                <w:sz w:val="17"/>
              </w:rPr>
              <w:t>Permissions</w:t>
            </w:r>
          </w:p>
        </w:tc>
        <w:tc>
          <w:tcPr>
            <w:tcW w:type="dxa" w:w="5040"/>
            <w:vAlign w:val="center"/>
          </w:tcPr>
          <w:p>
            <w:r/>
            <w:r>
              <w:rPr>
                <w:b w:val="0"/>
                <w:sz w:val="17"/>
              </w:rPr>
              <w:t>Permission denied and upgrade required are visually and behaviorally distinct.</w:t>
            </w:r>
          </w:p>
        </w:tc>
      </w:tr>
      <w:tr>
        <w:tc>
          <w:tcPr>
            <w:tcW w:type="dxa" w:w="5040"/>
            <w:vAlign w:val="center"/>
          </w:tcPr>
          <w:p>
            <w:r/>
            <w:r>
              <w:rPr>
                <w:b w:val="0"/>
                <w:sz w:val="17"/>
              </w:rPr>
              <w:t>Errors</w:t>
            </w:r>
          </w:p>
        </w:tc>
        <w:tc>
          <w:tcPr>
            <w:tcW w:type="dxa" w:w="5040"/>
            <w:vAlign w:val="center"/>
          </w:tcPr>
          <w:p>
            <w:r/>
            <w:r>
              <w:rPr>
                <w:b w:val="0"/>
                <w:sz w:val="17"/>
              </w:rPr>
              <w:t>API error categories map to defined UI treatments.</w:t>
            </w:r>
          </w:p>
        </w:tc>
      </w:tr>
      <w:tr>
        <w:tc>
          <w:tcPr>
            <w:tcW w:type="dxa" w:w="5040"/>
            <w:vAlign w:val="center"/>
          </w:tcPr>
          <w:p>
            <w:r/>
            <w:r>
              <w:rPr>
                <w:b w:val="0"/>
                <w:sz w:val="17"/>
              </w:rPr>
              <w:t>Realtime</w:t>
            </w:r>
          </w:p>
        </w:tc>
        <w:tc>
          <w:tcPr>
            <w:tcW w:type="dxa" w:w="5040"/>
            <w:vAlign w:val="center"/>
          </w:tcPr>
          <w:p>
            <w:r/>
            <w:r>
              <w:rPr>
                <w:b w:val="0"/>
                <w:sz w:val="17"/>
              </w:rPr>
              <w:t>Incoming events do not unexpectedly reorder the user's active list/thread.</w:t>
            </w:r>
          </w:p>
        </w:tc>
      </w:tr>
    </w:tbl>
    <w:p/>
    <w:p>
      <w:pPr>
        <w:pStyle w:val="Heading1"/>
      </w:pPr>
      <w:r>
        <w:t>26. Risks and Dependencies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F2EE"/>
          </w:tcPr>
          <w:p>
            <w:r/>
            <w:r>
              <w:rPr>
                <w:b/>
                <w:sz w:val="17"/>
              </w:rPr>
              <w:t>Risk / dependency</w:t>
            </w:r>
          </w:p>
        </w:tc>
        <w:tc>
          <w:tcPr>
            <w:tcW w:type="dxa" w:w="3360"/>
            <w:vAlign w:val="center"/>
            <w:shd w:fill="E7F2EE"/>
          </w:tcPr>
          <w:p>
            <w:r/>
            <w:r>
              <w:rPr>
                <w:b/>
                <w:sz w:val="17"/>
              </w:rPr>
              <w:t>Impact</w:t>
            </w:r>
          </w:p>
        </w:tc>
        <w:tc>
          <w:tcPr>
            <w:tcW w:type="dxa" w:w="3360"/>
            <w:vAlign w:val="center"/>
            <w:shd w:fill="E7F2EE"/>
          </w:tcPr>
          <w:p>
            <w:r/>
            <w:r>
              <w:rPr>
                <w:b/>
                <w:sz w:val="17"/>
              </w:rPr>
              <w:t>Mitigation / required decision</w:t>
            </w:r>
          </w:p>
        </w:tc>
      </w:tr>
      <w:tr>
        <w:tc>
          <w:tcPr>
            <w:tcW w:type="dxa" w:w="3360"/>
            <w:vAlign w:val="center"/>
          </w:tcPr>
          <w:p>
            <w:r/>
            <w:r>
              <w:rPr>
                <w:b w:val="0"/>
                <w:sz w:val="17"/>
              </w:rPr>
              <w:t>Existing backend is materially ahead of UI</w:t>
            </w:r>
          </w:p>
        </w:tc>
        <w:tc>
          <w:tcPr>
            <w:tcW w:type="dxa" w:w="3360"/>
            <w:vAlign w:val="center"/>
          </w:tcPr>
          <w:p>
            <w:r/>
            <w:r>
              <w:rPr>
                <w:b w:val="0"/>
                <w:sz w:val="17"/>
              </w:rPr>
              <w:t>High</w:t>
            </w:r>
          </w:p>
        </w:tc>
        <w:tc>
          <w:tcPr>
            <w:tcW w:type="dxa" w:w="3360"/>
            <w:vAlign w:val="center"/>
          </w:tcPr>
          <w:p>
            <w:r/>
            <w:r>
              <w:rPr>
                <w:b w:val="0"/>
                <w:sz w:val="17"/>
              </w:rPr>
              <w:t>Use API behavior as design constraint and annotate endpoints.</w:t>
            </w:r>
          </w:p>
        </w:tc>
      </w:tr>
      <w:tr>
        <w:tc>
          <w:tcPr>
            <w:tcW w:type="dxa" w:w="3360"/>
            <w:vAlign w:val="center"/>
          </w:tcPr>
          <w:p>
            <w:r/>
            <w:r>
              <w:rPr>
                <w:b w:val="0"/>
                <w:sz w:val="17"/>
              </w:rPr>
              <w:t>Shell foundations change late</w:t>
            </w:r>
          </w:p>
        </w:tc>
        <w:tc>
          <w:tcPr>
            <w:tcW w:type="dxa" w:w="3360"/>
            <w:vAlign w:val="center"/>
          </w:tcPr>
          <w:p>
            <w:r/>
            <w:r>
              <w:rPr>
                <w:b w:val="0"/>
                <w:sz w:val="17"/>
              </w:rPr>
              <w:t>High</w:t>
            </w:r>
          </w:p>
        </w:tc>
        <w:tc>
          <w:tcPr>
            <w:tcW w:type="dxa" w:w="3360"/>
            <w:vAlign w:val="center"/>
          </w:tcPr>
          <w:p>
            <w:r/>
            <w:r>
              <w:rPr>
                <w:b w:val="0"/>
                <w:sz w:val="17"/>
              </w:rPr>
              <w:t>Complete and sign off Wave 1 before Wave 2.</w:t>
            </w:r>
          </w:p>
        </w:tc>
      </w:tr>
      <w:tr>
        <w:tc>
          <w:tcPr>
            <w:tcW w:type="dxa" w:w="3360"/>
            <w:vAlign w:val="center"/>
          </w:tcPr>
          <w:p>
            <w:r/>
            <w:r>
              <w:rPr>
                <w:b w:val="0"/>
                <w:sz w:val="17"/>
              </w:rPr>
              <w:t>Dynamic permission model is complex</w:t>
            </w:r>
          </w:p>
        </w:tc>
        <w:tc>
          <w:tcPr>
            <w:tcW w:type="dxa" w:w="3360"/>
            <w:vAlign w:val="center"/>
          </w:tcPr>
          <w:p>
            <w:r/>
            <w:r>
              <w:rPr>
                <w:b w:val="0"/>
                <w:sz w:val="17"/>
              </w:rPr>
              <w:t>High</w:t>
            </w:r>
          </w:p>
        </w:tc>
        <w:tc>
          <w:tcPr>
            <w:tcW w:type="dxa" w:w="3360"/>
            <w:vAlign w:val="center"/>
          </w:tcPr>
          <w:p>
            <w:r/>
            <w:r>
              <w:rPr>
                <w:b w:val="0"/>
                <w:sz w:val="17"/>
              </w:rPr>
              <w:t>Design capability-based gating and explicit denial stages.</w:t>
            </w:r>
          </w:p>
        </w:tc>
      </w:tr>
      <w:tr>
        <w:tc>
          <w:tcPr>
            <w:tcW w:type="dxa" w:w="3360"/>
            <w:vAlign w:val="center"/>
          </w:tcPr>
          <w:p>
            <w:r/>
            <w:r>
              <w:rPr>
                <w:b w:val="0"/>
                <w:sz w:val="17"/>
              </w:rPr>
              <w:t>Generic object renderer has broad reuse</w:t>
            </w:r>
          </w:p>
        </w:tc>
        <w:tc>
          <w:tcPr>
            <w:tcW w:type="dxa" w:w="3360"/>
            <w:vAlign w:val="center"/>
          </w:tcPr>
          <w:p>
            <w:r/>
            <w:r>
              <w:rPr>
                <w:b w:val="0"/>
                <w:sz w:val="17"/>
              </w:rPr>
              <w:t>High</w:t>
            </w:r>
          </w:p>
        </w:tc>
        <w:tc>
          <w:tcPr>
            <w:tcW w:type="dxa" w:w="3360"/>
            <w:vAlign w:val="center"/>
          </w:tcPr>
          <w:p>
            <w:r/>
            <w:r>
              <w:rPr>
                <w:b w:val="0"/>
                <w:sz w:val="17"/>
              </w:rPr>
              <w:t>Design renderer before app-specific object screens.</w:t>
            </w:r>
          </w:p>
        </w:tc>
      </w:tr>
      <w:tr>
        <w:tc>
          <w:tcPr>
            <w:tcW w:type="dxa" w:w="3360"/>
            <w:vAlign w:val="center"/>
          </w:tcPr>
          <w:p>
            <w:r/>
            <w:r>
              <w:rPr>
                <w:b w:val="0"/>
                <w:sz w:val="17"/>
              </w:rPr>
              <w:t>Finance workflows are high accuracy</w:t>
            </w:r>
          </w:p>
        </w:tc>
        <w:tc>
          <w:tcPr>
            <w:tcW w:type="dxa" w:w="3360"/>
            <w:vAlign w:val="center"/>
          </w:tcPr>
          <w:p>
            <w:r/>
            <w:r>
              <w:rPr>
                <w:b w:val="0"/>
                <w:sz w:val="17"/>
              </w:rPr>
              <w:t>High</w:t>
            </w:r>
          </w:p>
        </w:tc>
        <w:tc>
          <w:tcPr>
            <w:tcW w:type="dxa" w:w="3360"/>
            <w:vAlign w:val="center"/>
          </w:tcPr>
          <w:p>
            <w:r/>
            <w:r>
              <w:rPr>
                <w:b w:val="0"/>
                <w:sz w:val="17"/>
              </w:rPr>
              <w:t>Use explicit confirmation, reversible matching and strong monetary formatting.</w:t>
            </w:r>
          </w:p>
        </w:tc>
      </w:tr>
      <w:tr>
        <w:tc>
          <w:tcPr>
            <w:tcW w:type="dxa" w:w="3360"/>
            <w:vAlign w:val="center"/>
          </w:tcPr>
          <w:p>
            <w:r/>
            <w:r>
              <w:rPr>
                <w:b w:val="0"/>
                <w:sz w:val="17"/>
              </w:rPr>
              <w:t>Realtime events can disrupt reading</w:t>
            </w:r>
          </w:p>
        </w:tc>
        <w:tc>
          <w:tcPr>
            <w:tcW w:type="dxa" w:w="3360"/>
            <w:vAlign w:val="center"/>
          </w:tcPr>
          <w:p>
            <w:r/>
            <w:r>
              <w:rPr>
                <w:b w:val="0"/>
                <w:sz w:val="17"/>
              </w:rPr>
              <w:t>Medium</w:t>
            </w:r>
          </w:p>
        </w:tc>
        <w:tc>
          <w:tcPr>
            <w:tcW w:type="dxa" w:w="3360"/>
            <w:vAlign w:val="center"/>
          </w:tcPr>
          <w:p>
            <w:r/>
            <w:r>
              <w:rPr>
                <w:b w:val="0"/>
                <w:sz w:val="17"/>
              </w:rPr>
              <w:t>Use refresh bars/toasts rather than forced list reordering.</w:t>
            </w:r>
          </w:p>
        </w:tc>
      </w:tr>
      <w:tr>
        <w:tc>
          <w:tcPr>
            <w:tcW w:type="dxa" w:w="3360"/>
            <w:vAlign w:val="center"/>
          </w:tcPr>
          <w:p>
            <w:r/>
            <w:r>
              <w:rPr>
                <w:b w:val="0"/>
                <w:sz w:val="17"/>
              </w:rPr>
              <w:t>Dark mode doubles review surface</w:t>
            </w:r>
          </w:p>
        </w:tc>
        <w:tc>
          <w:tcPr>
            <w:tcW w:type="dxa" w:w="3360"/>
            <w:vAlign w:val="center"/>
          </w:tcPr>
          <w:p>
            <w:r/>
            <w:r>
              <w:rPr>
                <w:b w:val="0"/>
                <w:sz w:val="17"/>
              </w:rPr>
              <w:t>Medium</w:t>
            </w:r>
          </w:p>
        </w:tc>
        <w:tc>
          <w:tcPr>
            <w:tcW w:type="dxa" w:w="3360"/>
            <w:vAlign w:val="center"/>
          </w:tcPr>
          <w:p>
            <w:r/>
            <w:r>
              <w:rPr>
                <w:b w:val="0"/>
                <w:sz w:val="17"/>
              </w:rPr>
              <w:t>Resolve launch scope before foundations.</w:t>
            </w:r>
          </w:p>
        </w:tc>
      </w:tr>
      <w:tr>
        <w:tc>
          <w:tcPr>
            <w:tcW w:type="dxa" w:w="3360"/>
            <w:vAlign w:val="center"/>
          </w:tcPr>
          <w:p>
            <w:r/>
            <w:r>
              <w:rPr>
                <w:b w:val="0"/>
                <w:sz w:val="17"/>
              </w:rPr>
              <w:t>Tenant downgrade behavior unspecified</w:t>
            </w:r>
          </w:p>
        </w:tc>
        <w:tc>
          <w:tcPr>
            <w:tcW w:type="dxa" w:w="3360"/>
            <w:vAlign w:val="center"/>
          </w:tcPr>
          <w:p>
            <w:r/>
            <w:r>
              <w:rPr>
                <w:b w:val="0"/>
                <w:sz w:val="17"/>
              </w:rPr>
              <w:t>High</w:t>
            </w:r>
          </w:p>
        </w:tc>
        <w:tc>
          <w:tcPr>
            <w:tcW w:type="dxa" w:w="3360"/>
            <w:vAlign w:val="center"/>
          </w:tcPr>
          <w:p>
            <w:r/>
            <w:r>
              <w:rPr>
                <w:b w:val="0"/>
                <w:sz w:val="17"/>
              </w:rPr>
              <w:t>Resolve before entitlement-related UI is finalized.</w:t>
            </w:r>
          </w:p>
        </w:tc>
      </w:tr>
      <w:tr>
        <w:tc>
          <w:tcPr>
            <w:tcW w:type="dxa" w:w="3360"/>
            <w:vAlign w:val="center"/>
          </w:tcPr>
          <w:p>
            <w:r/>
            <w:r>
              <w:rPr>
                <w:b w:val="0"/>
                <w:sz w:val="17"/>
              </w:rPr>
              <w:t>Enterprise SSO entry point unspecified</w:t>
            </w:r>
          </w:p>
        </w:tc>
        <w:tc>
          <w:tcPr>
            <w:tcW w:type="dxa" w:w="3360"/>
            <w:vAlign w:val="center"/>
          </w:tcPr>
          <w:p>
            <w:r/>
            <w:r>
              <w:rPr>
                <w:b w:val="0"/>
                <w:sz w:val="17"/>
              </w:rPr>
              <w:t>High</w:t>
            </w:r>
          </w:p>
        </w:tc>
        <w:tc>
          <w:tcPr>
            <w:tcW w:type="dxa" w:w="3360"/>
            <w:vAlign w:val="center"/>
          </w:tcPr>
          <w:p>
            <w:r/>
            <w:r>
              <w:rPr>
                <w:b w:val="0"/>
                <w:sz w:val="17"/>
              </w:rPr>
              <w:t>Resolve before Wave 1 sign-in is finalized.</w:t>
            </w:r>
          </w:p>
        </w:tc>
      </w:tr>
    </w:tbl>
    <w:p/>
    <w:p>
      <w:pPr>
        <w:pStyle w:val="Heading1"/>
      </w:pPr>
      <w:r>
        <w:t>27. Open Product Decisions</w:t>
      </w:r>
    </w:p>
    <w:p>
      <w:r>
        <w:t>The following decisions are explicitly unresolved in the supplied source. They should not be silently resolved in design or engineering.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7F2EE"/>
          </w:tcPr>
          <w:p>
            <w:r/>
            <w:r>
              <w:rPr>
                <w:b/>
                <w:sz w:val="17"/>
              </w:rPr>
              <w:t>ID</w:t>
            </w:r>
          </w:p>
        </w:tc>
        <w:tc>
          <w:tcPr>
            <w:tcW w:type="dxa" w:w="2520"/>
            <w:vAlign w:val="center"/>
            <w:shd w:fill="E7F2EE"/>
          </w:tcPr>
          <w:p>
            <w:r/>
            <w:r>
              <w:rPr>
                <w:b/>
                <w:sz w:val="17"/>
              </w:rPr>
              <w:t>Decision</w:t>
            </w:r>
          </w:p>
        </w:tc>
        <w:tc>
          <w:tcPr>
            <w:tcW w:type="dxa" w:w="2520"/>
            <w:vAlign w:val="center"/>
            <w:shd w:fill="E7F2EE"/>
          </w:tcPr>
          <w:p>
            <w:r/>
            <w:r>
              <w:rPr>
                <w:b/>
                <w:sz w:val="17"/>
              </w:rPr>
              <w:t>Why it matters</w:t>
            </w:r>
          </w:p>
        </w:tc>
        <w:tc>
          <w:tcPr>
            <w:tcW w:type="dxa" w:w="2520"/>
            <w:vAlign w:val="center"/>
            <w:shd w:fill="E7F2EE"/>
          </w:tcPr>
          <w:p>
            <w:r/>
            <w:r>
              <w:rPr>
                <w:b/>
                <w:sz w:val="17"/>
              </w:rPr>
              <w:t>Blocking</w:t>
            </w:r>
          </w:p>
        </w:tc>
      </w:tr>
      <w:tr>
        <w:tc>
          <w:tcPr>
            <w:tcW w:type="dxa" w:w="2520"/>
            <w:vAlign w:val="center"/>
          </w:tcPr>
          <w:p>
            <w:r/>
            <w:r>
              <w:rPr>
                <w:b w:val="0"/>
                <w:sz w:val="17"/>
              </w:rPr>
              <w:t>DEC-001</w:t>
            </w:r>
          </w:p>
        </w:tc>
        <w:tc>
          <w:tcPr>
            <w:tcW w:type="dxa" w:w="2520"/>
            <w:vAlign w:val="center"/>
          </w:tcPr>
          <w:p>
            <w:r/>
            <w:r>
              <w:rPr>
                <w:b w:val="0"/>
                <w:sz w:val="17"/>
              </w:rPr>
              <w:t>Choose Inter or Nunito Sans</w:t>
            </w:r>
          </w:p>
        </w:tc>
        <w:tc>
          <w:tcPr>
            <w:tcW w:type="dxa" w:w="2520"/>
            <w:vAlign w:val="center"/>
          </w:tcPr>
          <w:p>
            <w:r/>
            <w:r>
              <w:rPr>
                <w:b w:val="0"/>
                <w:sz w:val="17"/>
              </w:rPr>
              <w:t>Both are currently defined; shipping both is undesirable.</w:t>
            </w:r>
          </w:p>
        </w:tc>
        <w:tc>
          <w:tcPr>
            <w:tcW w:type="dxa" w:w="2520"/>
            <w:vAlign w:val="center"/>
          </w:tcPr>
          <w:p>
            <w:r/>
            <w:r>
              <w:rPr>
                <w:b w:val="0"/>
                <w:sz w:val="17"/>
              </w:rPr>
              <w:t>Wave 1 foundations</w:t>
            </w:r>
          </w:p>
        </w:tc>
      </w:tr>
      <w:tr>
        <w:tc>
          <w:tcPr>
            <w:tcW w:type="dxa" w:w="2520"/>
            <w:vAlign w:val="center"/>
          </w:tcPr>
          <w:p>
            <w:r/>
            <w:r>
              <w:rPr>
                <w:b w:val="0"/>
                <w:sz w:val="17"/>
              </w:rPr>
              <w:t>DEC-002</w:t>
            </w:r>
          </w:p>
        </w:tc>
        <w:tc>
          <w:tcPr>
            <w:tcW w:type="dxa" w:w="2520"/>
            <w:vAlign w:val="center"/>
          </w:tcPr>
          <w:p>
            <w:r/>
            <w:r>
              <w:rPr>
                <w:b w:val="0"/>
                <w:sz w:val="17"/>
              </w:rPr>
              <w:t>Enterprise SSO tenant identification</w:t>
            </w:r>
          </w:p>
        </w:tc>
        <w:tc>
          <w:tcPr>
            <w:tcW w:type="dxa" w:w="2520"/>
            <w:vAlign w:val="center"/>
          </w:tcPr>
          <w:p>
            <w:r/>
            <w:r>
              <w:rPr>
                <w:b w:val="0"/>
                <w:sz w:val="17"/>
              </w:rPr>
              <w:t>Choose workspace slug vs email-domain lookup before IdP handoff.</w:t>
            </w:r>
          </w:p>
        </w:tc>
        <w:tc>
          <w:tcPr>
            <w:tcW w:type="dxa" w:w="2520"/>
            <w:vAlign w:val="center"/>
          </w:tcPr>
          <w:p>
            <w:r/>
            <w:r>
              <w:rPr>
                <w:b w:val="0"/>
                <w:sz w:val="17"/>
              </w:rPr>
              <w:t>Wave 1 sign-in</w:t>
            </w:r>
          </w:p>
        </w:tc>
      </w:tr>
      <w:tr>
        <w:tc>
          <w:tcPr>
            <w:tcW w:type="dxa" w:w="2520"/>
            <w:vAlign w:val="center"/>
          </w:tcPr>
          <w:p>
            <w:r/>
            <w:r>
              <w:rPr>
                <w:b w:val="0"/>
                <w:sz w:val="17"/>
              </w:rPr>
              <w:t>DEC-003</w:t>
            </w:r>
          </w:p>
        </w:tc>
        <w:tc>
          <w:tcPr>
            <w:tcW w:type="dxa" w:w="2520"/>
            <w:vAlign w:val="center"/>
          </w:tcPr>
          <w:p>
            <w:r/>
            <w:r>
              <w:rPr>
                <w:b w:val="0"/>
                <w:sz w:val="17"/>
              </w:rPr>
              <w:t>Dark mode launch scope</w:t>
            </w:r>
          </w:p>
        </w:tc>
        <w:tc>
          <w:tcPr>
            <w:tcW w:type="dxa" w:w="2520"/>
            <w:vAlign w:val="center"/>
          </w:tcPr>
          <w:p>
            <w:r/>
            <w:r>
              <w:rPr>
                <w:b w:val="0"/>
                <w:sz w:val="17"/>
              </w:rPr>
              <w:t>Existing tokens exist, but launch scope is not decided.</w:t>
            </w:r>
          </w:p>
        </w:tc>
        <w:tc>
          <w:tcPr>
            <w:tcW w:type="dxa" w:w="2520"/>
            <w:vAlign w:val="center"/>
          </w:tcPr>
          <w:p>
            <w:r/>
            <w:r>
              <w:rPr>
                <w:b w:val="0"/>
                <w:sz w:val="17"/>
              </w:rPr>
              <w:t>Wave 1 foundations</w:t>
            </w:r>
          </w:p>
        </w:tc>
      </w:tr>
      <w:tr>
        <w:tc>
          <w:tcPr>
            <w:tcW w:type="dxa" w:w="2520"/>
            <w:vAlign w:val="center"/>
          </w:tcPr>
          <w:p>
            <w:r/>
            <w:r>
              <w:rPr>
                <w:b w:val="0"/>
                <w:sz w:val="17"/>
              </w:rPr>
              <w:t>DEC-004</w:t>
            </w:r>
          </w:p>
        </w:tc>
        <w:tc>
          <w:tcPr>
            <w:tcW w:type="dxa" w:w="2520"/>
            <w:vAlign w:val="center"/>
          </w:tcPr>
          <w:p>
            <w:r/>
            <w:r>
              <w:rPr>
                <w:b w:val="0"/>
                <w:sz w:val="17"/>
              </w:rPr>
              <w:t>Workspace home model</w:t>
            </w:r>
          </w:p>
        </w:tc>
        <w:tc>
          <w:tcPr>
            <w:tcW w:type="dxa" w:w="2520"/>
            <w:vAlign w:val="center"/>
          </w:tcPr>
          <w:p>
            <w:r/>
            <w:r>
              <w:rPr>
                <w:b w:val="0"/>
                <w:sz w:val="17"/>
              </w:rPr>
              <w:t>Dashboard vs app switcher is a product decision; no endpoint determines it.</w:t>
            </w:r>
          </w:p>
        </w:tc>
        <w:tc>
          <w:tcPr>
            <w:tcW w:type="dxa" w:w="2520"/>
            <w:vAlign w:val="center"/>
          </w:tcPr>
          <w:p>
            <w:r/>
            <w:r>
              <w:rPr>
                <w:b w:val="0"/>
                <w:sz w:val="17"/>
              </w:rPr>
              <w:t>Wave 1 shell</w:t>
            </w:r>
          </w:p>
        </w:tc>
      </w:tr>
      <w:tr>
        <w:tc>
          <w:tcPr>
            <w:tcW w:type="dxa" w:w="2520"/>
            <w:vAlign w:val="center"/>
          </w:tcPr>
          <w:p>
            <w:r/>
            <w:r>
              <w:rPr>
                <w:b w:val="0"/>
                <w:sz w:val="17"/>
              </w:rPr>
              <w:t>DEC-005</w:t>
            </w:r>
          </w:p>
        </w:tc>
        <w:tc>
          <w:tcPr>
            <w:tcW w:type="dxa" w:w="2520"/>
            <w:vAlign w:val="center"/>
          </w:tcPr>
          <w:p>
            <w:r/>
            <w:r>
              <w:rPr>
                <w:b w:val="0"/>
                <w:sz w:val="17"/>
              </w:rPr>
              <w:t>Multi-tenant membership</w:t>
            </w:r>
          </w:p>
        </w:tc>
        <w:tc>
          <w:tcPr>
            <w:tcW w:type="dxa" w:w="2520"/>
            <w:vAlign w:val="center"/>
          </w:tcPr>
          <w:p>
            <w:r/>
            <w:r>
              <w:rPr>
                <w:b w:val="0"/>
                <w:sz w:val="17"/>
              </w:rPr>
              <w:t>If users can belong to multiple tenants, sign-in and top bar need tenant selection/switching.</w:t>
            </w:r>
          </w:p>
        </w:tc>
        <w:tc>
          <w:tcPr>
            <w:tcW w:type="dxa" w:w="2520"/>
            <w:vAlign w:val="center"/>
          </w:tcPr>
          <w:p>
            <w:r/>
            <w:r>
              <w:rPr>
                <w:b w:val="0"/>
                <w:sz w:val="17"/>
              </w:rPr>
              <w:t>Shell/sign-in</w:t>
            </w:r>
          </w:p>
        </w:tc>
      </w:tr>
      <w:tr>
        <w:tc>
          <w:tcPr>
            <w:tcW w:type="dxa" w:w="2520"/>
            <w:vAlign w:val="center"/>
          </w:tcPr>
          <w:p>
            <w:r/>
            <w:r>
              <w:rPr>
                <w:b w:val="0"/>
                <w:sz w:val="17"/>
              </w:rPr>
              <w:t>DEC-006</w:t>
            </w:r>
          </w:p>
        </w:tc>
        <w:tc>
          <w:tcPr>
            <w:tcW w:type="dxa" w:w="2520"/>
            <w:vAlign w:val="center"/>
          </w:tcPr>
          <w:p>
            <w:r/>
            <w:r>
              <w:rPr>
                <w:b w:val="0"/>
                <w:sz w:val="17"/>
              </w:rPr>
              <w:t>Public help portal branding</w:t>
            </w:r>
          </w:p>
        </w:tc>
        <w:tc>
          <w:tcPr>
            <w:tcW w:type="dxa" w:w="2520"/>
            <w:vAlign w:val="center"/>
          </w:tcPr>
          <w:p>
            <w:r/>
            <w:r>
              <w:rPr>
                <w:b w:val="0"/>
                <w:sz w:val="17"/>
              </w:rPr>
              <w:t>Determine tenant-brandable vs Convarg-branded.</w:t>
            </w:r>
          </w:p>
        </w:tc>
        <w:tc>
          <w:tcPr>
            <w:tcW w:type="dxa" w:w="2520"/>
            <w:vAlign w:val="center"/>
          </w:tcPr>
          <w:p>
            <w:r/>
            <w:r>
              <w:rPr>
                <w:b w:val="0"/>
                <w:sz w:val="17"/>
              </w:rPr>
              <w:t>Wave 4</w:t>
            </w:r>
          </w:p>
        </w:tc>
      </w:tr>
      <w:tr>
        <w:tc>
          <w:tcPr>
            <w:tcW w:type="dxa" w:w="2520"/>
            <w:vAlign w:val="center"/>
          </w:tcPr>
          <w:p>
            <w:r/>
            <w:r>
              <w:rPr>
                <w:b w:val="0"/>
                <w:sz w:val="17"/>
              </w:rPr>
              <w:t>DEC-007</w:t>
            </w:r>
          </w:p>
        </w:tc>
        <w:tc>
          <w:tcPr>
            <w:tcW w:type="dxa" w:w="2520"/>
            <w:vAlign w:val="center"/>
          </w:tcPr>
          <w:p>
            <w:r/>
            <w:r>
              <w:rPr>
                <w:b w:val="0"/>
                <w:sz w:val="17"/>
              </w:rPr>
              <w:t>EDI launch scope</w:t>
            </w:r>
          </w:p>
        </w:tc>
        <w:tc>
          <w:tcPr>
            <w:tcW w:type="dxa" w:w="2520"/>
            <w:vAlign w:val="center"/>
          </w:tcPr>
          <w:p>
            <w:r/>
            <w:r>
              <w:rPr>
                <w:b w:val="0"/>
                <w:sz w:val="17"/>
              </w:rPr>
              <w:t>Decide whether X12 810/997 screens are required.</w:t>
            </w:r>
          </w:p>
        </w:tc>
        <w:tc>
          <w:tcPr>
            <w:tcW w:type="dxa" w:w="2520"/>
            <w:vAlign w:val="center"/>
          </w:tcPr>
          <w:p>
            <w:r/>
            <w:r>
              <w:rPr>
                <w:b w:val="0"/>
                <w:sz w:val="17"/>
              </w:rPr>
              <w:t>VargBooks scope</w:t>
            </w:r>
          </w:p>
        </w:tc>
      </w:tr>
      <w:tr>
        <w:tc>
          <w:tcPr>
            <w:tcW w:type="dxa" w:w="2520"/>
            <w:vAlign w:val="center"/>
          </w:tcPr>
          <w:p>
            <w:r/>
            <w:r>
              <w:rPr>
                <w:b w:val="0"/>
                <w:sz w:val="17"/>
              </w:rPr>
              <w:t>DEC-008</w:t>
            </w:r>
          </w:p>
        </w:tc>
        <w:tc>
          <w:tcPr>
            <w:tcW w:type="dxa" w:w="2520"/>
            <w:vAlign w:val="center"/>
          </w:tcPr>
          <w:p>
            <w:r/>
            <w:r>
              <w:rPr>
                <w:b w:val="0"/>
                <w:sz w:val="17"/>
              </w:rPr>
              <w:t>Plan downgrade behavior</w:t>
            </w:r>
          </w:p>
        </w:tc>
        <w:tc>
          <w:tcPr>
            <w:tcW w:type="dxa" w:w="2520"/>
            <w:vAlign w:val="center"/>
          </w:tcPr>
          <w:p>
            <w:r/>
            <w:r>
              <w:rPr>
                <w:b w:val="0"/>
                <w:sz w:val="17"/>
              </w:rPr>
              <w:t>Determine read-only, hidden or exportable behavior for data in unlicensed apps.</w:t>
            </w:r>
          </w:p>
        </w:tc>
        <w:tc>
          <w:tcPr>
            <w:tcW w:type="dxa" w:w="2520"/>
            <w:vAlign w:val="center"/>
          </w:tcPr>
          <w:p>
            <w:r/>
            <w:r>
              <w:rPr>
                <w:b w:val="0"/>
                <w:sz w:val="17"/>
              </w:rPr>
              <w:t>Entitlements</w:t>
            </w:r>
          </w:p>
        </w:tc>
      </w:tr>
      <w:tr>
        <w:tc>
          <w:tcPr>
            <w:tcW w:type="dxa" w:w="2520"/>
            <w:vAlign w:val="center"/>
          </w:tcPr>
          <w:p>
            <w:r/>
            <w:r>
              <w:rPr>
                <w:b w:val="0"/>
                <w:sz w:val="17"/>
              </w:rPr>
              <w:t>DEC-009</w:t>
            </w:r>
          </w:p>
        </w:tc>
        <w:tc>
          <w:tcPr>
            <w:tcW w:type="dxa" w:w="2520"/>
            <w:vAlign w:val="center"/>
          </w:tcPr>
          <w:p>
            <w:r/>
            <w:r>
              <w:rPr>
                <w:b w:val="0"/>
                <w:sz w:val="17"/>
              </w:rPr>
              <w:t>Icon set</w:t>
            </w:r>
          </w:p>
        </w:tc>
        <w:tc>
          <w:tcPr>
            <w:tcW w:type="dxa" w:w="2520"/>
            <w:vAlign w:val="center"/>
          </w:tcPr>
          <w:p>
            <w:r/>
            <w:r>
              <w:rPr>
                <w:b w:val="0"/>
                <w:sz w:val="17"/>
              </w:rPr>
              <w:t>Existing repository does not identify an icon system.</w:t>
            </w:r>
          </w:p>
        </w:tc>
        <w:tc>
          <w:tcPr>
            <w:tcW w:type="dxa" w:w="2520"/>
            <w:vAlign w:val="center"/>
          </w:tcPr>
          <w:p>
            <w:r/>
            <w:r>
              <w:rPr>
                <w:b w:val="0"/>
                <w:sz w:val="17"/>
              </w:rPr>
              <w:t>Foundations</w:t>
            </w:r>
          </w:p>
        </w:tc>
      </w:tr>
      <w:tr>
        <w:tc>
          <w:tcPr>
            <w:tcW w:type="dxa" w:w="2520"/>
            <w:vAlign w:val="center"/>
          </w:tcPr>
          <w:p>
            <w:r/>
            <w:r>
              <w:rPr>
                <w:b w:val="0"/>
                <w:sz w:val="17"/>
              </w:rPr>
              <w:t>DEC-010</w:t>
            </w:r>
          </w:p>
        </w:tc>
        <w:tc>
          <w:tcPr>
            <w:tcW w:type="dxa" w:w="2520"/>
            <w:vAlign w:val="center"/>
          </w:tcPr>
          <w:p>
            <w:r/>
            <w:r>
              <w:rPr>
                <w:b w:val="0"/>
                <w:sz w:val="17"/>
              </w:rPr>
              <w:t>Public launch sequencing</w:t>
            </w:r>
          </w:p>
        </w:tc>
        <w:tc>
          <w:tcPr>
            <w:tcW w:type="dxa" w:w="2520"/>
            <w:vAlign w:val="center"/>
          </w:tcPr>
          <w:p>
            <w:r/>
            <w:r>
              <w:rPr>
                <w:b w:val="0"/>
                <w:sz w:val="17"/>
              </w:rPr>
              <w:t>Strategy note says reveal one app publicly before full suite; app switcher requires locked apps for upgrade discovery.</w:t>
            </w:r>
          </w:p>
        </w:tc>
        <w:tc>
          <w:tcPr>
            <w:tcW w:type="dxa" w:w="2520"/>
            <w:vAlign w:val="center"/>
          </w:tcPr>
          <w:p>
            <w:r/>
            <w:r>
              <w:rPr>
                <w:b w:val="0"/>
                <w:sz w:val="17"/>
              </w:rPr>
              <w:t>Product strategy</w:t>
            </w:r>
          </w:p>
        </w:tc>
      </w:tr>
    </w:tbl>
    <w:p/>
    <w:p>
      <w:pPr>
        <w:pStyle w:val="Heading1"/>
      </w:pPr>
      <w:r>
        <w:t>28. Recommended Execution Sequence</w:t>
      </w:r>
    </w:p>
    <w:p>
      <w:pPr>
        <w:pStyle w:val="ListNumber"/>
        <w:spacing w:after="40"/>
      </w:pPr>
      <w:r>
        <w:t>Resolve the four Wave 1 blocking decisions: typeface, SSO entry, dark-mode scope, and workspace home.</w:t>
      </w:r>
    </w:p>
    <w:p>
      <w:pPr>
        <w:pStyle w:val="ListNumber"/>
        <w:spacing w:after="40"/>
      </w:pPr>
      <w:r>
        <w:t>Audit the existing Figma variables, coded components and design-token implementation.</w:t>
      </w:r>
    </w:p>
    <w:p>
      <w:pPr>
        <w:pStyle w:val="ListNumber"/>
        <w:spacing w:after="40"/>
      </w:pPr>
      <w:r>
        <w:t>Build the Figma Foundations and Components pages using the existing variables.</w:t>
      </w:r>
    </w:p>
    <w:p>
      <w:pPr>
        <w:pStyle w:val="ListNumber"/>
        <w:spacing w:after="40"/>
      </w:pPr>
      <w:r>
        <w:t>Design and implement the global shell, including app switcher, sidebar, top bar, global search and empty workspace.</w:t>
      </w:r>
    </w:p>
    <w:p>
      <w:pPr>
        <w:pStyle w:val="ListNumber"/>
        <w:spacing w:after="40"/>
      </w:pPr>
      <w:r>
        <w:t>Complete VargID flows and all required identity states.</w:t>
      </w:r>
    </w:p>
    <w:p>
      <w:pPr>
        <w:pStyle w:val="ListNumber"/>
        <w:spacing w:after="40"/>
      </w:pPr>
      <w:r>
        <w:t>Design and prototype the six-step onboarding experience, including resume, capability review, assembly progress and partial failure.</w:t>
      </w:r>
    </w:p>
    <w:p>
      <w:pPr>
        <w:pStyle w:val="ListNumber"/>
        <w:spacing w:after="40"/>
      </w:pPr>
      <w:r>
        <w:t>Design VargNotify and integrate its cross-cutting states.</w:t>
      </w:r>
    </w:p>
    <w:p>
      <w:pPr>
        <w:pStyle w:val="ListNumber"/>
        <w:spacing w:after="40"/>
      </w:pPr>
      <w:r>
        <w:t>Validate the Wave 1 end-to-end prototype and sign it off.</w:t>
      </w:r>
    </w:p>
    <w:p>
      <w:pPr>
        <w:pStyle w:val="ListNumber"/>
        <w:spacing w:after="40"/>
      </w:pPr>
      <w:r>
        <w:t>Proceed to Wave 2: VargCore Directory, generic Objects renderer, then VargBooks.</w:t>
      </w:r>
    </w:p>
    <w:p>
      <w:pPr>
        <w:pStyle w:val="ListNumber"/>
        <w:spacing w:after="40"/>
      </w:pPr>
      <w:r>
        <w:t>Continue through Waves 3 and 4 using the same shared component and state system.</w:t>
      </w:r>
    </w:p>
    <w:p>
      <w:pPr>
        <w:pStyle w:val="Heading1"/>
      </w:pPr>
      <w:r>
        <w:t>29. Traceability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7F2EE"/>
          </w:tcPr>
          <w:p>
            <w:r/>
            <w:r>
              <w:rPr>
                <w:b/>
                <w:sz w:val="17"/>
              </w:rPr>
              <w:t>Product area</w:t>
            </w:r>
          </w:p>
        </w:tc>
        <w:tc>
          <w:tcPr>
            <w:tcW w:type="dxa" w:w="2520"/>
            <w:vAlign w:val="center"/>
            <w:shd w:fill="E7F2EE"/>
          </w:tcPr>
          <w:p>
            <w:r/>
            <w:r>
              <w:rPr>
                <w:b/>
                <w:sz w:val="17"/>
              </w:rPr>
              <w:t>Primary UX artifact</w:t>
            </w:r>
          </w:p>
        </w:tc>
        <w:tc>
          <w:tcPr>
            <w:tcW w:type="dxa" w:w="2520"/>
            <w:vAlign w:val="center"/>
            <w:shd w:fill="E7F2EE"/>
          </w:tcPr>
          <w:p>
            <w:r/>
            <w:r>
              <w:rPr>
                <w:b/>
                <w:sz w:val="17"/>
              </w:rPr>
              <w:t>Primary engineering concern</w:t>
            </w:r>
          </w:p>
        </w:tc>
        <w:tc>
          <w:tcPr>
            <w:tcW w:type="dxa" w:w="2520"/>
            <w:vAlign w:val="center"/>
            <w:shd w:fill="E7F2EE"/>
          </w:tcPr>
          <w:p>
            <w:r/>
            <w:r>
              <w:rPr>
                <w:b/>
                <w:sz w:val="17"/>
              </w:rPr>
              <w:t>Priority</w:t>
            </w:r>
          </w:p>
        </w:tc>
      </w:tr>
      <w:tr>
        <w:tc>
          <w:tcPr>
            <w:tcW w:type="dxa" w:w="2520"/>
            <w:vAlign w:val="center"/>
          </w:tcPr>
          <w:p>
            <w:r/>
            <w:r>
              <w:rPr>
                <w:b w:val="0"/>
                <w:sz w:val="17"/>
              </w:rPr>
              <w:t>Shell</w:t>
            </w:r>
          </w:p>
        </w:tc>
        <w:tc>
          <w:tcPr>
            <w:tcW w:type="dxa" w:w="2520"/>
            <w:vAlign w:val="center"/>
          </w:tcPr>
          <w:p>
            <w:r/>
            <w:r>
              <w:rPr>
                <w:b w:val="0"/>
                <w:sz w:val="17"/>
              </w:rPr>
              <w:t>Navigation/app-switcher patterns</w:t>
            </w:r>
          </w:p>
        </w:tc>
        <w:tc>
          <w:tcPr>
            <w:tcW w:type="dxa" w:w="2520"/>
            <w:vAlign w:val="center"/>
          </w:tcPr>
          <w:p>
            <w:r/>
            <w:r>
              <w:rPr>
                <w:b w:val="0"/>
                <w:sz w:val="17"/>
              </w:rPr>
              <w:t>Entitlements + responsive shell</w:t>
            </w:r>
          </w:p>
        </w:tc>
        <w:tc>
          <w:tcPr>
            <w:tcW w:type="dxa" w:w="2520"/>
            <w:vAlign w:val="center"/>
          </w:tcPr>
          <w:p>
            <w:r/>
            <w:r>
              <w:rPr>
                <w:b w:val="0"/>
                <w:sz w:val="17"/>
              </w:rPr>
              <w:t>P0</w:t>
            </w:r>
          </w:p>
        </w:tc>
      </w:tr>
      <w:tr>
        <w:tc>
          <w:tcPr>
            <w:tcW w:type="dxa" w:w="2520"/>
            <w:vAlign w:val="center"/>
          </w:tcPr>
          <w:p>
            <w:r/>
            <w:r>
              <w:rPr>
                <w:b w:val="0"/>
                <w:sz w:val="17"/>
              </w:rPr>
              <w:t>VargID</w:t>
            </w:r>
          </w:p>
        </w:tc>
        <w:tc>
          <w:tcPr>
            <w:tcW w:type="dxa" w:w="2520"/>
            <w:vAlign w:val="center"/>
          </w:tcPr>
          <w:p>
            <w:r/>
            <w:r>
              <w:rPr>
                <w:b w:val="0"/>
                <w:sz w:val="17"/>
              </w:rPr>
              <w:t>Identity flows</w:t>
            </w:r>
          </w:p>
        </w:tc>
        <w:tc>
          <w:tcPr>
            <w:tcW w:type="dxa" w:w="2520"/>
            <w:vAlign w:val="center"/>
          </w:tcPr>
          <w:p>
            <w:r/>
            <w:r>
              <w:rPr>
                <w:b w:val="0"/>
                <w:sz w:val="17"/>
              </w:rPr>
              <w:t>Auth, MFA, SSO, reset/verification</w:t>
            </w:r>
          </w:p>
        </w:tc>
        <w:tc>
          <w:tcPr>
            <w:tcW w:type="dxa" w:w="2520"/>
            <w:vAlign w:val="center"/>
          </w:tcPr>
          <w:p>
            <w:r/>
            <w:r>
              <w:rPr>
                <w:b w:val="0"/>
                <w:sz w:val="17"/>
              </w:rPr>
              <w:t>P0</w:t>
            </w:r>
          </w:p>
        </w:tc>
      </w:tr>
      <w:tr>
        <w:tc>
          <w:tcPr>
            <w:tcW w:type="dxa" w:w="2520"/>
            <w:vAlign w:val="center"/>
          </w:tcPr>
          <w:p>
            <w:r/>
            <w:r>
              <w:rPr>
                <w:b w:val="0"/>
                <w:sz w:val="17"/>
              </w:rPr>
              <w:t>Onboarding</w:t>
            </w:r>
          </w:p>
        </w:tc>
        <w:tc>
          <w:tcPr>
            <w:tcW w:type="dxa" w:w="2520"/>
            <w:vAlign w:val="center"/>
          </w:tcPr>
          <w:p>
            <w:r/>
            <w:r>
              <w:rPr>
                <w:b w:val="0"/>
                <w:sz w:val="17"/>
              </w:rPr>
              <w:t>Six-step wizard + review + assembly</w:t>
            </w:r>
          </w:p>
        </w:tc>
        <w:tc>
          <w:tcPr>
            <w:tcW w:type="dxa" w:w="2520"/>
            <w:vAlign w:val="center"/>
          </w:tcPr>
          <w:p>
            <w:r/>
            <w:r>
              <w:rPr>
                <w:b w:val="0"/>
                <w:sz w:val="17"/>
              </w:rPr>
              <w:t>Workspace catalog/assembly APIs</w:t>
            </w:r>
          </w:p>
        </w:tc>
        <w:tc>
          <w:tcPr>
            <w:tcW w:type="dxa" w:w="2520"/>
            <w:vAlign w:val="center"/>
          </w:tcPr>
          <w:p>
            <w:r/>
            <w:r>
              <w:rPr>
                <w:b w:val="0"/>
                <w:sz w:val="17"/>
              </w:rPr>
              <w:t>P0</w:t>
            </w:r>
          </w:p>
        </w:tc>
      </w:tr>
      <w:tr>
        <w:tc>
          <w:tcPr>
            <w:tcW w:type="dxa" w:w="2520"/>
            <w:vAlign w:val="center"/>
          </w:tcPr>
          <w:p>
            <w:r/>
            <w:r>
              <w:rPr>
                <w:b w:val="0"/>
                <w:sz w:val="17"/>
              </w:rPr>
              <w:t>VargNotify</w:t>
            </w:r>
          </w:p>
        </w:tc>
        <w:tc>
          <w:tcPr>
            <w:tcW w:type="dxa" w:w="2520"/>
            <w:vAlign w:val="center"/>
          </w:tcPr>
          <w:p>
            <w:r/>
            <w:r>
              <w:rPr>
                <w:b w:val="0"/>
                <w:sz w:val="17"/>
              </w:rPr>
              <w:t>Feed/preferences/devices</w:t>
            </w:r>
          </w:p>
        </w:tc>
        <w:tc>
          <w:tcPr>
            <w:tcW w:type="dxa" w:w="2520"/>
            <w:vAlign w:val="center"/>
          </w:tcPr>
          <w:p>
            <w:r/>
            <w:r>
              <w:rPr>
                <w:b w:val="0"/>
                <w:sz w:val="17"/>
              </w:rPr>
              <w:t>SSE + notification APIs</w:t>
            </w:r>
          </w:p>
        </w:tc>
        <w:tc>
          <w:tcPr>
            <w:tcW w:type="dxa" w:w="2520"/>
            <w:vAlign w:val="center"/>
          </w:tcPr>
          <w:p>
            <w:r/>
            <w:r>
              <w:rPr>
                <w:b w:val="0"/>
                <w:sz w:val="17"/>
              </w:rPr>
              <w:t>P0</w:t>
            </w:r>
          </w:p>
        </w:tc>
      </w:tr>
      <w:tr>
        <w:tc>
          <w:tcPr>
            <w:tcW w:type="dxa" w:w="2520"/>
            <w:vAlign w:val="center"/>
          </w:tcPr>
          <w:p>
            <w:r/>
            <w:r>
              <w:rPr>
                <w:b w:val="0"/>
                <w:sz w:val="17"/>
              </w:rPr>
              <w:t>VargCore Objects</w:t>
            </w:r>
          </w:p>
        </w:tc>
        <w:tc>
          <w:tcPr>
            <w:tcW w:type="dxa" w:w="2520"/>
            <w:vAlign w:val="center"/>
          </w:tcPr>
          <w:p>
            <w:r/>
            <w:r>
              <w:rPr>
                <w:b w:val="0"/>
                <w:sz w:val="17"/>
              </w:rPr>
              <w:t>Generic renderer + designer</w:t>
            </w:r>
          </w:p>
        </w:tc>
        <w:tc>
          <w:tcPr>
            <w:tcW w:type="dxa" w:w="2520"/>
            <w:vAlign w:val="center"/>
          </w:tcPr>
          <w:p>
            <w:r/>
            <w:r>
              <w:rPr>
                <w:b w:val="0"/>
                <w:sz w:val="17"/>
              </w:rPr>
              <w:t>Server-defined metadata</w:t>
            </w:r>
          </w:p>
        </w:tc>
        <w:tc>
          <w:tcPr>
            <w:tcW w:type="dxa" w:w="2520"/>
            <w:vAlign w:val="center"/>
          </w:tcPr>
          <w:p>
            <w:r/>
            <w:r>
              <w:rPr>
                <w:b w:val="0"/>
                <w:sz w:val="17"/>
              </w:rPr>
              <w:t>P0</w:t>
            </w:r>
          </w:p>
        </w:tc>
      </w:tr>
      <w:tr>
        <w:tc>
          <w:tcPr>
            <w:tcW w:type="dxa" w:w="2520"/>
            <w:vAlign w:val="center"/>
          </w:tcPr>
          <w:p>
            <w:r/>
            <w:r>
              <w:rPr>
                <w:b w:val="0"/>
                <w:sz w:val="17"/>
              </w:rPr>
              <w:t>VargBooks</w:t>
            </w:r>
          </w:p>
        </w:tc>
        <w:tc>
          <w:tcPr>
            <w:tcW w:type="dxa" w:w="2520"/>
            <w:vAlign w:val="center"/>
          </w:tcPr>
          <w:p>
            <w:r/>
            <w:r>
              <w:rPr>
                <w:b w:val="0"/>
                <w:sz w:val="17"/>
              </w:rPr>
              <w:t>Invoice/reconciliation workflows</w:t>
            </w:r>
          </w:p>
        </w:tc>
        <w:tc>
          <w:tcPr>
            <w:tcW w:type="dxa" w:w="2520"/>
            <w:vAlign w:val="center"/>
          </w:tcPr>
          <w:p>
            <w:r/>
            <w:r>
              <w:rPr>
                <w:b w:val="0"/>
                <w:sz w:val="17"/>
              </w:rPr>
              <w:t>Ledger and money correctness</w:t>
            </w:r>
          </w:p>
        </w:tc>
        <w:tc>
          <w:tcPr>
            <w:tcW w:type="dxa" w:w="2520"/>
            <w:vAlign w:val="center"/>
          </w:tcPr>
          <w:p>
            <w:r/>
            <w:r>
              <w:rPr>
                <w:b w:val="0"/>
                <w:sz w:val="17"/>
              </w:rPr>
              <w:t>P0</w:t>
            </w:r>
          </w:p>
        </w:tc>
      </w:tr>
      <w:tr>
        <w:tc>
          <w:tcPr>
            <w:tcW w:type="dxa" w:w="2520"/>
            <w:vAlign w:val="center"/>
          </w:tcPr>
          <w:p>
            <w:r/>
            <w:r>
              <w:rPr>
                <w:b w:val="0"/>
                <w:sz w:val="17"/>
              </w:rPr>
              <w:t>VargDesk/Mail</w:t>
            </w:r>
          </w:p>
        </w:tc>
        <w:tc>
          <w:tcPr>
            <w:tcW w:type="dxa" w:w="2520"/>
            <w:vAlign w:val="center"/>
          </w:tcPr>
          <w:p>
            <w:r/>
            <w:r>
              <w:rPr>
                <w:b w:val="0"/>
                <w:sz w:val="17"/>
              </w:rPr>
              <w:t>Conversation workspace</w:t>
            </w:r>
          </w:p>
        </w:tc>
        <w:tc>
          <w:tcPr>
            <w:tcW w:type="dxa" w:w="2520"/>
            <w:vAlign w:val="center"/>
          </w:tcPr>
          <w:p>
            <w:r/>
            <w:r>
              <w:rPr>
                <w:b w:val="0"/>
                <w:sz w:val="17"/>
              </w:rPr>
              <w:t>Realtime/webhooks + attachments</w:t>
            </w:r>
          </w:p>
        </w:tc>
        <w:tc>
          <w:tcPr>
            <w:tcW w:type="dxa" w:w="2520"/>
            <w:vAlign w:val="center"/>
          </w:tcPr>
          <w:p>
            <w:r/>
            <w:r>
              <w:rPr>
                <w:b w:val="0"/>
                <w:sz w:val="17"/>
              </w:rPr>
              <w:t>P1</w:t>
            </w:r>
          </w:p>
        </w:tc>
      </w:tr>
      <w:tr>
        <w:tc>
          <w:tcPr>
            <w:tcW w:type="dxa" w:w="2520"/>
            <w:vAlign w:val="center"/>
          </w:tcPr>
          <w:p>
            <w:r/>
            <w:r>
              <w:rPr>
                <w:b w:val="0"/>
                <w:sz w:val="17"/>
              </w:rPr>
              <w:t>VargPay</w:t>
            </w:r>
          </w:p>
        </w:tc>
        <w:tc>
          <w:tcPr>
            <w:tcW w:type="dxa" w:w="2520"/>
            <w:vAlign w:val="center"/>
          </w:tcPr>
          <w:p>
            <w:r/>
            <w:r>
              <w:rPr>
                <w:b w:val="0"/>
                <w:sz w:val="17"/>
              </w:rPr>
              <w:t>Payment lifecycle</w:t>
            </w:r>
          </w:p>
        </w:tc>
        <w:tc>
          <w:tcPr>
            <w:tcW w:type="dxa" w:w="2520"/>
            <w:vAlign w:val="center"/>
          </w:tcPr>
          <w:p>
            <w:r/>
            <w:r>
              <w:rPr>
                <w:b w:val="0"/>
                <w:sz w:val="17"/>
              </w:rPr>
              <w:t>PSP state + async settlement</w:t>
            </w:r>
          </w:p>
        </w:tc>
        <w:tc>
          <w:tcPr>
            <w:tcW w:type="dxa" w:w="2520"/>
            <w:vAlign w:val="center"/>
          </w:tcPr>
          <w:p>
            <w:r/>
            <w:r>
              <w:rPr>
                <w:b w:val="0"/>
                <w:sz w:val="17"/>
              </w:rPr>
              <w:t>P1</w:t>
            </w:r>
          </w:p>
        </w:tc>
      </w:tr>
      <w:tr>
        <w:tc>
          <w:tcPr>
            <w:tcW w:type="dxa" w:w="2520"/>
            <w:vAlign w:val="center"/>
          </w:tcPr>
          <w:p>
            <w:r/>
            <w:r>
              <w:rPr>
                <w:b w:val="0"/>
                <w:sz w:val="17"/>
              </w:rPr>
              <w:t>VargTax</w:t>
            </w:r>
          </w:p>
        </w:tc>
        <w:tc>
          <w:tcPr>
            <w:tcW w:type="dxa" w:w="2520"/>
            <w:vAlign w:val="center"/>
          </w:tcPr>
          <w:p>
            <w:r/>
            <w:r>
              <w:rPr>
                <w:b w:val="0"/>
                <w:sz w:val="17"/>
              </w:rPr>
              <w:t>Compliance dashboard</w:t>
            </w:r>
          </w:p>
        </w:tc>
        <w:tc>
          <w:tcPr>
            <w:tcW w:type="dxa" w:w="2520"/>
            <w:vAlign w:val="center"/>
          </w:tcPr>
          <w:p>
            <w:r/>
            <w:r>
              <w:rPr>
                <w:b w:val="0"/>
                <w:sz w:val="17"/>
              </w:rPr>
              <w:t>FIRS clearance + obligations</w:t>
            </w:r>
          </w:p>
        </w:tc>
        <w:tc>
          <w:tcPr>
            <w:tcW w:type="dxa" w:w="2520"/>
            <w:vAlign w:val="center"/>
          </w:tcPr>
          <w:p>
            <w:r/>
            <w:r>
              <w:rPr>
                <w:b w:val="0"/>
                <w:sz w:val="17"/>
              </w:rPr>
              <w:t>P1</w:t>
            </w:r>
          </w:p>
        </w:tc>
      </w:tr>
      <w:tr>
        <w:tc>
          <w:tcPr>
            <w:tcW w:type="dxa" w:w="2520"/>
            <w:vAlign w:val="center"/>
          </w:tcPr>
          <w:p>
            <w:r/>
            <w:r>
              <w:rPr>
                <w:b w:val="0"/>
                <w:sz w:val="17"/>
              </w:rPr>
              <w:t>VargFlow</w:t>
            </w:r>
          </w:p>
        </w:tc>
        <w:tc>
          <w:tcPr>
            <w:tcW w:type="dxa" w:w="2520"/>
            <w:vAlign w:val="center"/>
          </w:tcPr>
          <w:p>
            <w:r/>
            <w:r>
              <w:rPr>
                <w:b w:val="0"/>
                <w:sz w:val="17"/>
              </w:rPr>
              <w:t>Approvals/rules</w:t>
            </w:r>
          </w:p>
        </w:tc>
        <w:tc>
          <w:tcPr>
            <w:tcW w:type="dxa" w:w="2520"/>
            <w:vAlign w:val="center"/>
          </w:tcPr>
          <w:p>
            <w:r/>
            <w:r>
              <w:rPr>
                <w:b w:val="0"/>
                <w:sz w:val="17"/>
              </w:rPr>
              <w:t>Cross-app workflow engine</w:t>
            </w:r>
          </w:p>
        </w:tc>
        <w:tc>
          <w:tcPr>
            <w:tcW w:type="dxa" w:w="2520"/>
            <w:vAlign w:val="center"/>
          </w:tcPr>
          <w:p>
            <w:r/>
            <w:r>
              <w:rPr>
                <w:b w:val="0"/>
                <w:sz w:val="17"/>
              </w:rPr>
              <w:t>P1</w:t>
            </w:r>
          </w:p>
        </w:tc>
      </w:tr>
      <w:tr>
        <w:tc>
          <w:tcPr>
            <w:tcW w:type="dxa" w:w="2520"/>
            <w:vAlign w:val="center"/>
          </w:tcPr>
          <w:p>
            <w:r/>
            <w:r>
              <w:rPr>
                <w:b w:val="0"/>
                <w:sz w:val="17"/>
              </w:rPr>
              <w:t>Access</w:t>
            </w:r>
          </w:p>
        </w:tc>
        <w:tc>
          <w:tcPr>
            <w:tcW w:type="dxa" w:w="2520"/>
            <w:vAlign w:val="center"/>
          </w:tcPr>
          <w:p>
            <w:r/>
            <w:r>
              <w:rPr>
                <w:b w:val="0"/>
                <w:sz w:val="17"/>
              </w:rPr>
              <w:t>Governance/simulation</w:t>
            </w:r>
          </w:p>
        </w:tc>
        <w:tc>
          <w:tcPr>
            <w:tcW w:type="dxa" w:w="2520"/>
            <w:vAlign w:val="center"/>
          </w:tcPr>
          <w:p>
            <w:r/>
            <w:r>
              <w:rPr>
                <w:b w:val="0"/>
                <w:sz w:val="17"/>
              </w:rPr>
              <w:t>Dynamic permissions + ABAC</w:t>
            </w:r>
          </w:p>
        </w:tc>
        <w:tc>
          <w:tcPr>
            <w:tcW w:type="dxa" w:w="2520"/>
            <w:vAlign w:val="center"/>
          </w:tcPr>
          <w:p>
            <w:r/>
            <w:r>
              <w:rPr>
                <w:b w:val="0"/>
                <w:sz w:val="17"/>
              </w:rPr>
              <w:t>P1</w:t>
            </w:r>
          </w:p>
        </w:tc>
      </w:tr>
      <w:tr>
        <w:tc>
          <w:tcPr>
            <w:tcW w:type="dxa" w:w="2520"/>
            <w:vAlign w:val="center"/>
          </w:tcPr>
          <w:p>
            <w:r/>
            <w:r>
              <w:rPr>
                <w:b w:val="0"/>
                <w:sz w:val="17"/>
              </w:rPr>
              <w:t>VargHelp</w:t>
            </w:r>
          </w:p>
        </w:tc>
        <w:tc>
          <w:tcPr>
            <w:tcW w:type="dxa" w:w="2520"/>
            <w:vAlign w:val="center"/>
          </w:tcPr>
          <w:p>
            <w:r/>
            <w:r>
              <w:rPr>
                <w:b w:val="0"/>
                <w:sz w:val="17"/>
              </w:rPr>
              <w:t>Knowledge base/public portal</w:t>
            </w:r>
          </w:p>
        </w:tc>
        <w:tc>
          <w:tcPr>
            <w:tcW w:type="dxa" w:w="2520"/>
            <w:vAlign w:val="center"/>
          </w:tcPr>
          <w:p>
            <w:r/>
            <w:r>
              <w:rPr>
                <w:b w:val="0"/>
                <w:sz w:val="17"/>
              </w:rPr>
              <w:t>Search/retrieval/citations</w:t>
            </w:r>
          </w:p>
        </w:tc>
        <w:tc>
          <w:tcPr>
            <w:tcW w:type="dxa" w:w="2520"/>
            <w:vAlign w:val="center"/>
          </w:tcPr>
          <w:p>
            <w:r/>
            <w:r>
              <w:rPr>
                <w:b w:val="0"/>
                <w:sz w:val="17"/>
              </w:rPr>
              <w:t>P2</w:t>
            </w:r>
          </w:p>
        </w:tc>
      </w:tr>
    </w:tbl>
    <w:p/>
    <w:p>
      <w:pPr>
        <w:pStyle w:val="Heading1"/>
      </w:pPr>
      <w:r>
        <w:t>30. Source Boundaries and Assumptions</w:t>
      </w:r>
    </w:p>
    <w:p>
      <w:r>
        <w:t>This PRD is a structured standardization of the supplied Convarg UI PRD — Figma Design Brief. Where the source specifies an endpoint, state, screen, persona, design rule, or acceptance criterion, this document preserves that requirement. Where the source identifies an unresolved decision, this PRD keeps it unresolved rather than inventing a product decision. No external market research or competitor analysis has been added.</w:t>
      </w:r>
    </w:p>
    <w:p>
      <w:pPr>
        <w:pStyle w:val="Heading1"/>
      </w:pPr>
      <w:r>
        <w:t>31. Final Definition of Done</w:t>
      </w:r>
    </w:p>
    <w:p>
      <w:pPr>
        <w:pStyle w:val="ListBullet"/>
        <w:spacing w:after="40"/>
      </w:pPr>
      <w:r>
        <w:t>Wave 1 has been designed, implemented, tested and signed off before Wave 2 begins.</w:t>
      </w:r>
    </w:p>
    <w:p>
      <w:pPr>
        <w:pStyle w:val="ListBullet"/>
        <w:spacing w:after="40"/>
      </w:pPr>
      <w:r>
        <w:t>The shared shell and design system are stable enough to support all subsequent apps.</w:t>
      </w:r>
    </w:p>
    <w:p>
      <w:pPr>
        <w:pStyle w:val="ListBullet"/>
        <w:spacing w:after="40"/>
      </w:pPr>
      <w:r>
        <w:t>Every required component has variants and is reused.</w:t>
      </w:r>
    </w:p>
    <w:p>
      <w:pPr>
        <w:pStyle w:val="ListBullet"/>
        <w:spacing w:after="40"/>
      </w:pPr>
      <w:r>
        <w:t>Every applicable screen state is explicitly designed.</w:t>
      </w:r>
    </w:p>
    <w:p>
      <w:pPr>
        <w:pStyle w:val="ListBullet"/>
        <w:spacing w:after="40"/>
      </w:pPr>
      <w:r>
        <w:t>Endpoint annotations exist for each screen.</w:t>
      </w:r>
    </w:p>
    <w:p>
      <w:pPr>
        <w:pStyle w:val="ListBullet"/>
        <w:spacing w:after="40"/>
      </w:pPr>
      <w:r>
        <w:t>Responsive behavior is documented for required breakpoints.</w:t>
      </w:r>
    </w:p>
    <w:p>
      <w:pPr>
        <w:pStyle w:val="ListBullet"/>
        <w:spacing w:after="40"/>
      </w:pPr>
      <w:r>
        <w:t>Accessibility requirements are validated.</w:t>
      </w:r>
    </w:p>
    <w:p>
      <w:pPr>
        <w:pStyle w:val="ListBullet"/>
        <w:spacing w:after="40"/>
      </w:pPr>
      <w:r>
        <w:t>Three end-to-end prototypes run without dead ends.</w:t>
      </w:r>
    </w:p>
    <w:p>
      <w:pPr>
        <w:pStyle w:val="ListBullet"/>
        <w:spacing w:after="40"/>
      </w:pPr>
      <w:r>
        <w:t>No raw color values or off-scale typography are introduced.</w:t>
      </w:r>
    </w:p>
    <w:p>
      <w:pPr>
        <w:pStyle w:val="ListBullet"/>
        <w:spacing w:after="40"/>
      </w:pPr>
      <w:r>
        <w:t>All unresolved product decisions that block later work have been resolved through explicit product ownership.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Convarg — Detailed Product Requirements Document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8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58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