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MANGALORE UNIVERSITY</w:t>
        <w:br/>
      </w:r>
    </w:p>
    <w:p>
      <w:pPr>
        <w:spacing w:before="720" w:after="120"/>
        <w:jc w:val="center"/>
      </w:pPr>
      <w:r>
        <w:rPr>
          <w:i/>
          <w:sz w:val="28"/>
        </w:rPr>
        <w:t>Project Synopsis</w:t>
        <w:br/>
        <w:t>on</w:t>
        <w:br/>
      </w:r>
    </w:p>
    <w:p>
      <w:pPr>
        <w:spacing w:before="240" w:after="720"/>
        <w:jc w:val="center"/>
      </w:pPr>
      <w:r>
        <w:rPr>
          <w:b/>
          <w:sz w:val="32"/>
        </w:rPr>
        <w:t>“FEELPAY: A SECURE AND SCALABLE MULTI-TENANT PAYMENT GATEWAY AND AGGREGATOR PLATFORM”</w:t>
        <w:br/>
      </w:r>
    </w:p>
    <w:p>
      <w:pPr>
        <w:spacing w:before="480" w:after="480"/>
        <w:jc w:val="center"/>
      </w:pPr>
      <w:r>
        <w:rPr>
          <w:sz w:val="24"/>
        </w:rPr>
        <w:t>Submitted by</w:t>
        <w:br/>
      </w:r>
      <w:r>
        <w:rPr>
          <w:b/>
          <w:sz w:val="28"/>
        </w:rPr>
        <w:t>CHIRAG S KOTIAN</w:t>
        <w:br/>
      </w:r>
      <w:r>
        <w:rPr>
          <w:b/>
          <w:sz w:val="24"/>
        </w:rPr>
        <w:t>[REGISTRATION NUMBER: __________________]</w:t>
        <w:br/>
      </w:r>
      <w:r>
        <w:rPr>
          <w:sz w:val="24"/>
        </w:rPr>
        <w:t>Department of MCA, PIM</w:t>
        <w:br/>
      </w:r>
    </w:p>
    <w:p>
      <w:pPr>
        <w:spacing w:before="480" w:after="720"/>
        <w:jc w:val="center"/>
      </w:pPr>
      <w:r>
        <w:rPr>
          <w:sz w:val="24"/>
        </w:rPr>
        <w:t>Under the guidance of</w:t>
        <w:br/>
      </w:r>
      <w:r>
        <w:rPr>
          <w:b/>
          <w:sz w:val="28"/>
        </w:rPr>
        <w:t>Prof. Venugopala Rao A S</w:t>
        <w:br/>
      </w:r>
      <w:r>
        <w:rPr>
          <w:sz w:val="24"/>
        </w:rPr>
        <w:t>Assistant Professor and Head</w:t>
        <w:br/>
        <w:t>Department of MCA, PIM</w:t>
        <w:br/>
      </w:r>
      <w:r>
        <w:rPr>
          <w:sz w:val="24"/>
        </w:rPr>
        <w:t>and</w:t>
        <w:br/>
      </w:r>
      <w:r>
        <w:rPr>
          <w:b/>
          <w:sz w:val="28"/>
        </w:rPr>
        <w:t>[Name of the External Guide]</w:t>
        <w:br/>
      </w:r>
      <w:r>
        <w:rPr>
          <w:sz w:val="24"/>
        </w:rPr>
        <w:t>[Designation]</w:t>
        <w:br/>
        <w:t>[Name of the Company]</w:t>
        <w:br/>
      </w:r>
    </w:p>
    <w:p>
      <w:pPr>
        <w:spacing w:before="960" w:after="0"/>
        <w:jc w:val="center"/>
      </w:pPr>
      <w:r>
        <w:rPr>
          <w:b/>
          <w:sz w:val="28"/>
        </w:rPr>
        <w:t>Department of MCA</w:t>
        <w:br/>
        <w:t>Poornaprajna Institute of Management, Udupi</w:t>
        <w:br/>
        <w:t>2025-26</w:t>
      </w:r>
    </w:p>
    <w:p>
      <w:r>
        <w:br w:type="page"/>
      </w:r>
    </w:p>
    <w:p>
      <w:pPr>
        <w:spacing w:before="240" w:after="240"/>
        <w:jc w:val="center"/>
      </w:pPr>
      <w:r>
        <w:rPr>
          <w:b/>
          <w:sz w:val="28"/>
        </w:rPr>
        <w:t>Content Page</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3182"/>
        <w:gridCol w:w="3182"/>
        <w:gridCol w:w="3182"/>
      </w:tblGrid>
      <w:tr>
        <w:tc>
          <w:tcPr>
            <w:tcW w:type="dxa" w:w="3182"/>
            <w:shd w:fill="F2F2F2"/>
            <w:tcMar>
              <w:top w:w="120" w:type="dxa"/>
              <w:bottom w:w="120" w:type="dxa"/>
              <w:left w:w="150" w:type="dxa"/>
              <w:right w:w="150" w:type="dxa"/>
            </w:tcMar>
          </w:tcPr>
          <w:p>
            <w:pPr>
              <w:jc w:val="left"/>
            </w:pPr>
            <w:r>
              <w:rPr>
                <w:rFonts w:ascii="Times New Roman" w:hAnsi="Times New Roman"/>
                <w:b/>
                <w:sz w:val="22"/>
              </w:rPr>
              <w:t>Sl. No</w:t>
            </w:r>
          </w:p>
        </w:tc>
        <w:tc>
          <w:tcPr>
            <w:tcW w:type="dxa" w:w="3182"/>
            <w:shd w:fill="F2F2F2"/>
            <w:tcMar>
              <w:top w:w="120" w:type="dxa"/>
              <w:bottom w:w="120" w:type="dxa"/>
              <w:left w:w="150" w:type="dxa"/>
              <w:right w:w="150" w:type="dxa"/>
            </w:tcMar>
          </w:tcPr>
          <w:p>
            <w:pPr>
              <w:jc w:val="left"/>
            </w:pPr>
            <w:r>
              <w:rPr>
                <w:rFonts w:ascii="Times New Roman" w:hAnsi="Times New Roman"/>
                <w:b/>
                <w:sz w:val="22"/>
              </w:rPr>
              <w:t>Content</w:t>
            </w:r>
          </w:p>
        </w:tc>
        <w:tc>
          <w:tcPr>
            <w:tcW w:type="dxa" w:w="3182"/>
            <w:shd w:fill="F2F2F2"/>
            <w:tcMar>
              <w:top w:w="120" w:type="dxa"/>
              <w:bottom w:w="120" w:type="dxa"/>
              <w:left w:w="150" w:type="dxa"/>
              <w:right w:w="150" w:type="dxa"/>
            </w:tcMar>
          </w:tcPr>
          <w:p>
            <w:pPr>
              <w:jc w:val="left"/>
            </w:pPr>
            <w:r>
              <w:rPr>
                <w:rFonts w:ascii="Times New Roman" w:hAnsi="Times New Roman"/>
                <w:b/>
                <w:sz w:val="22"/>
              </w:rPr>
              <w:t>Page Number</w:t>
            </w:r>
          </w:p>
        </w:tc>
      </w:tr>
      <w:tr>
        <w:tc>
          <w:tcPr>
            <w:tcW w:type="dxa" w:w="3182"/>
            <w:tcMar>
              <w:top w:w="100" w:type="dxa"/>
              <w:bottom w:w="100" w:type="dxa"/>
              <w:left w:w="150" w:type="dxa"/>
              <w:right w:w="150" w:type="dxa"/>
            </w:tcMar>
          </w:tcPr>
          <w:p>
            <w:r>
              <w:rPr>
                <w:rFonts w:ascii="Times New Roman" w:hAnsi="Times New Roman"/>
                <w:sz w:val="22"/>
              </w:rPr>
              <w:t>1</w:t>
            </w:r>
          </w:p>
        </w:tc>
        <w:tc>
          <w:tcPr>
            <w:tcW w:type="dxa" w:w="3182"/>
            <w:tcMar>
              <w:top w:w="100" w:type="dxa"/>
              <w:bottom w:w="100" w:type="dxa"/>
              <w:left w:w="150" w:type="dxa"/>
              <w:right w:w="150" w:type="dxa"/>
            </w:tcMar>
          </w:tcPr>
          <w:p>
            <w:r>
              <w:rPr>
                <w:rFonts w:ascii="Times New Roman" w:hAnsi="Times New Roman"/>
                <w:sz w:val="22"/>
              </w:rPr>
              <w:t>Abstract</w:t>
            </w:r>
          </w:p>
        </w:tc>
        <w:tc>
          <w:tcPr>
            <w:tcW w:type="dxa" w:w="3182"/>
            <w:tcMar>
              <w:top w:w="100" w:type="dxa"/>
              <w:bottom w:w="100" w:type="dxa"/>
              <w:left w:w="150" w:type="dxa"/>
              <w:right w:w="150" w:type="dxa"/>
            </w:tcMar>
          </w:tcPr>
          <w:p>
            <w:r>
              <w:rPr>
                <w:rFonts w:ascii="Times New Roman" w:hAnsi="Times New Roman"/>
                <w:sz w:val="22"/>
              </w:rPr>
              <w:t>3</w:t>
            </w:r>
          </w:p>
        </w:tc>
      </w:tr>
      <w:tr>
        <w:tc>
          <w:tcPr>
            <w:tcW w:type="dxa" w:w="3182"/>
            <w:tcMar>
              <w:top w:w="100" w:type="dxa"/>
              <w:bottom w:w="100" w:type="dxa"/>
              <w:left w:w="150" w:type="dxa"/>
              <w:right w:w="150" w:type="dxa"/>
            </w:tcMar>
          </w:tcPr>
          <w:p>
            <w:r>
              <w:rPr>
                <w:rFonts w:ascii="Times New Roman" w:hAnsi="Times New Roman"/>
                <w:sz w:val="22"/>
              </w:rPr>
              <w:t>2</w:t>
            </w:r>
          </w:p>
        </w:tc>
        <w:tc>
          <w:tcPr>
            <w:tcW w:type="dxa" w:w="3182"/>
            <w:tcMar>
              <w:top w:w="100" w:type="dxa"/>
              <w:bottom w:w="100" w:type="dxa"/>
              <w:left w:w="150" w:type="dxa"/>
              <w:right w:w="150" w:type="dxa"/>
            </w:tcMar>
          </w:tcPr>
          <w:p>
            <w:r>
              <w:rPr>
                <w:rFonts w:ascii="Times New Roman" w:hAnsi="Times New Roman"/>
                <w:sz w:val="22"/>
              </w:rPr>
              <w:t>Motivation to choose this work</w:t>
            </w:r>
          </w:p>
        </w:tc>
        <w:tc>
          <w:tcPr>
            <w:tcW w:type="dxa" w:w="3182"/>
            <w:tcMar>
              <w:top w:w="100" w:type="dxa"/>
              <w:bottom w:w="100" w:type="dxa"/>
              <w:left w:w="150" w:type="dxa"/>
              <w:right w:w="150" w:type="dxa"/>
            </w:tcMar>
          </w:tcPr>
          <w:p>
            <w:r>
              <w:rPr>
                <w:rFonts w:ascii="Times New Roman" w:hAnsi="Times New Roman"/>
                <w:sz w:val="22"/>
              </w:rPr>
              <w:t>4</w:t>
            </w:r>
          </w:p>
        </w:tc>
      </w:tr>
      <w:tr>
        <w:tc>
          <w:tcPr>
            <w:tcW w:type="dxa" w:w="3182"/>
            <w:tcMar>
              <w:top w:w="100" w:type="dxa"/>
              <w:bottom w:w="100" w:type="dxa"/>
              <w:left w:w="150" w:type="dxa"/>
              <w:right w:w="150" w:type="dxa"/>
            </w:tcMar>
          </w:tcPr>
          <w:p>
            <w:r>
              <w:rPr>
                <w:rFonts w:ascii="Times New Roman" w:hAnsi="Times New Roman"/>
                <w:sz w:val="22"/>
              </w:rPr>
              <w:t>3</w:t>
            </w:r>
          </w:p>
        </w:tc>
        <w:tc>
          <w:tcPr>
            <w:tcW w:type="dxa" w:w="3182"/>
            <w:tcMar>
              <w:top w:w="100" w:type="dxa"/>
              <w:bottom w:w="100" w:type="dxa"/>
              <w:left w:w="150" w:type="dxa"/>
              <w:right w:w="150" w:type="dxa"/>
            </w:tcMar>
          </w:tcPr>
          <w:p>
            <w:r>
              <w:rPr>
                <w:rFonts w:ascii="Times New Roman" w:hAnsi="Times New Roman"/>
                <w:sz w:val="22"/>
              </w:rPr>
              <w:t>Literature review: High Concurrency, Vaulting, and Tenancy Scoping</w:t>
            </w:r>
          </w:p>
        </w:tc>
        <w:tc>
          <w:tcPr>
            <w:tcW w:type="dxa" w:w="3182"/>
            <w:tcMar>
              <w:top w:w="100" w:type="dxa"/>
              <w:bottom w:w="100" w:type="dxa"/>
              <w:left w:w="150" w:type="dxa"/>
              <w:right w:w="150" w:type="dxa"/>
            </w:tcMar>
          </w:tcPr>
          <w:p>
            <w:r>
              <w:rPr>
                <w:rFonts w:ascii="Times New Roman" w:hAnsi="Times New Roman"/>
                <w:sz w:val="22"/>
              </w:rPr>
              <w:t>5</w:t>
            </w:r>
          </w:p>
        </w:tc>
      </w:tr>
      <w:tr>
        <w:tc>
          <w:tcPr>
            <w:tcW w:type="dxa" w:w="3182"/>
            <w:tcMar>
              <w:top w:w="100" w:type="dxa"/>
              <w:bottom w:w="100" w:type="dxa"/>
              <w:left w:w="150" w:type="dxa"/>
              <w:right w:w="150" w:type="dxa"/>
            </w:tcMar>
          </w:tcPr>
          <w:p>
            <w:r>
              <w:rPr>
                <w:rFonts w:ascii="Times New Roman" w:hAnsi="Times New Roman"/>
                <w:sz w:val="22"/>
              </w:rPr>
              <w:t>4</w:t>
            </w:r>
          </w:p>
        </w:tc>
        <w:tc>
          <w:tcPr>
            <w:tcW w:type="dxa" w:w="3182"/>
            <w:tcMar>
              <w:top w:w="100" w:type="dxa"/>
              <w:bottom w:w="100" w:type="dxa"/>
              <w:left w:w="150" w:type="dxa"/>
              <w:right w:w="150" w:type="dxa"/>
            </w:tcMar>
          </w:tcPr>
          <w:p>
            <w:r>
              <w:rPr>
                <w:rFonts w:ascii="Times New Roman" w:hAnsi="Times New Roman"/>
                <w:sz w:val="22"/>
              </w:rPr>
              <w:t>Existing System Analysis: Performance and Tax Drawbacks</w:t>
            </w:r>
          </w:p>
        </w:tc>
        <w:tc>
          <w:tcPr>
            <w:tcW w:type="dxa" w:w="3182"/>
            <w:tcMar>
              <w:top w:w="100" w:type="dxa"/>
              <w:bottom w:w="100" w:type="dxa"/>
              <w:left w:w="150" w:type="dxa"/>
              <w:right w:w="150" w:type="dxa"/>
            </w:tcMar>
          </w:tcPr>
          <w:p>
            <w:r>
              <w:rPr>
                <w:rFonts w:ascii="Times New Roman" w:hAnsi="Times New Roman"/>
                <w:sz w:val="22"/>
              </w:rPr>
              <w:t>9</w:t>
            </w:r>
          </w:p>
        </w:tc>
      </w:tr>
      <w:tr>
        <w:tc>
          <w:tcPr>
            <w:tcW w:type="dxa" w:w="3182"/>
            <w:tcMar>
              <w:top w:w="100" w:type="dxa"/>
              <w:bottom w:w="100" w:type="dxa"/>
              <w:left w:w="150" w:type="dxa"/>
              <w:right w:w="150" w:type="dxa"/>
            </w:tcMar>
          </w:tcPr>
          <w:p>
            <w:r>
              <w:rPr>
                <w:rFonts w:ascii="Times New Roman" w:hAnsi="Times New Roman"/>
                <w:sz w:val="22"/>
              </w:rPr>
              <w:t>5</w:t>
            </w:r>
          </w:p>
        </w:tc>
        <w:tc>
          <w:tcPr>
            <w:tcW w:type="dxa" w:w="3182"/>
            <w:tcMar>
              <w:top w:w="100" w:type="dxa"/>
              <w:bottom w:w="100" w:type="dxa"/>
              <w:left w:w="150" w:type="dxa"/>
              <w:right w:w="150" w:type="dxa"/>
            </w:tcMar>
          </w:tcPr>
          <w:p>
            <w:r>
              <w:rPr>
                <w:rFonts w:ascii="Times New Roman" w:hAnsi="Times New Roman"/>
                <w:sz w:val="22"/>
              </w:rPr>
              <w:t>Problem formulation/Objectives</w:t>
            </w:r>
          </w:p>
        </w:tc>
        <w:tc>
          <w:tcPr>
            <w:tcW w:type="dxa" w:w="3182"/>
            <w:tcMar>
              <w:top w:w="100" w:type="dxa"/>
              <w:bottom w:w="100" w:type="dxa"/>
              <w:left w:w="150" w:type="dxa"/>
              <w:right w:w="150" w:type="dxa"/>
            </w:tcMar>
          </w:tcPr>
          <w:p>
            <w:r>
              <w:rPr>
                <w:rFonts w:ascii="Times New Roman" w:hAnsi="Times New Roman"/>
                <w:sz w:val="22"/>
              </w:rPr>
              <w:t>10</w:t>
            </w:r>
          </w:p>
        </w:tc>
      </w:tr>
      <w:tr>
        <w:tc>
          <w:tcPr>
            <w:tcW w:type="dxa" w:w="3182"/>
            <w:tcMar>
              <w:top w:w="100" w:type="dxa"/>
              <w:bottom w:w="100" w:type="dxa"/>
              <w:left w:w="150" w:type="dxa"/>
              <w:right w:w="150" w:type="dxa"/>
            </w:tcMar>
          </w:tcPr>
          <w:p>
            <w:r>
              <w:rPr>
                <w:rFonts w:ascii="Times New Roman" w:hAnsi="Times New Roman"/>
                <w:sz w:val="22"/>
              </w:rPr>
              <w:t>6</w:t>
            </w:r>
          </w:p>
        </w:tc>
        <w:tc>
          <w:tcPr>
            <w:tcW w:type="dxa" w:w="3182"/>
            <w:tcMar>
              <w:top w:w="100" w:type="dxa"/>
              <w:bottom w:w="100" w:type="dxa"/>
              <w:left w:w="150" w:type="dxa"/>
              <w:right w:w="150" w:type="dxa"/>
            </w:tcMar>
          </w:tcPr>
          <w:p>
            <w:r>
              <w:rPr>
                <w:rFonts w:ascii="Times New Roman" w:hAnsi="Times New Roman"/>
                <w:sz w:val="22"/>
              </w:rPr>
              <w:t>Methodology/ Planning of work: Architecture, Ledger, and Phases</w:t>
            </w:r>
          </w:p>
        </w:tc>
        <w:tc>
          <w:tcPr>
            <w:tcW w:type="dxa" w:w="3182"/>
            <w:tcMar>
              <w:top w:w="100" w:type="dxa"/>
              <w:bottom w:w="100" w:type="dxa"/>
              <w:left w:w="150" w:type="dxa"/>
              <w:right w:w="150" w:type="dxa"/>
            </w:tcMar>
          </w:tcPr>
          <w:p>
            <w:r>
              <w:rPr>
                <w:rFonts w:ascii="Times New Roman" w:hAnsi="Times New Roman"/>
                <w:sz w:val="22"/>
              </w:rPr>
              <w:t>11</w:t>
            </w:r>
          </w:p>
        </w:tc>
      </w:tr>
      <w:tr>
        <w:tc>
          <w:tcPr>
            <w:tcW w:type="dxa" w:w="3182"/>
            <w:tcMar>
              <w:top w:w="100" w:type="dxa"/>
              <w:bottom w:w="100" w:type="dxa"/>
              <w:left w:w="150" w:type="dxa"/>
              <w:right w:w="150" w:type="dxa"/>
            </w:tcMar>
          </w:tcPr>
          <w:p>
            <w:r>
              <w:rPr>
                <w:rFonts w:ascii="Times New Roman" w:hAnsi="Times New Roman"/>
                <w:sz w:val="22"/>
              </w:rPr>
              <w:t>7</w:t>
            </w:r>
          </w:p>
        </w:tc>
        <w:tc>
          <w:tcPr>
            <w:tcW w:type="dxa" w:w="3182"/>
            <w:tcMar>
              <w:top w:w="100" w:type="dxa"/>
              <w:bottom w:w="100" w:type="dxa"/>
              <w:left w:w="150" w:type="dxa"/>
              <w:right w:w="150" w:type="dxa"/>
            </w:tcMar>
          </w:tcPr>
          <w:p>
            <w:r>
              <w:rPr>
                <w:rFonts w:ascii="Times New Roman" w:hAnsi="Times New Roman"/>
                <w:sz w:val="22"/>
              </w:rPr>
              <w:t>Software/Hardware required</w:t>
            </w:r>
          </w:p>
        </w:tc>
        <w:tc>
          <w:tcPr>
            <w:tcW w:type="dxa" w:w="3182"/>
            <w:tcMar>
              <w:top w:w="100" w:type="dxa"/>
              <w:bottom w:w="100" w:type="dxa"/>
              <w:left w:w="150" w:type="dxa"/>
              <w:right w:w="150" w:type="dxa"/>
            </w:tcMar>
          </w:tcPr>
          <w:p>
            <w:r>
              <w:rPr>
                <w:rFonts w:ascii="Times New Roman" w:hAnsi="Times New Roman"/>
                <w:sz w:val="22"/>
              </w:rPr>
              <w:t>15</w:t>
            </w:r>
          </w:p>
        </w:tc>
      </w:tr>
      <w:tr>
        <w:tc>
          <w:tcPr>
            <w:tcW w:type="dxa" w:w="3182"/>
            <w:tcMar>
              <w:top w:w="100" w:type="dxa"/>
              <w:bottom w:w="100" w:type="dxa"/>
              <w:left w:w="150" w:type="dxa"/>
              <w:right w:w="150" w:type="dxa"/>
            </w:tcMar>
          </w:tcPr>
          <w:p>
            <w:r>
              <w:rPr>
                <w:rFonts w:ascii="Times New Roman" w:hAnsi="Times New Roman"/>
                <w:sz w:val="22"/>
              </w:rPr>
              <w:t>8</w:t>
            </w:r>
          </w:p>
        </w:tc>
        <w:tc>
          <w:tcPr>
            <w:tcW w:type="dxa" w:w="3182"/>
            <w:tcMar>
              <w:top w:w="100" w:type="dxa"/>
              <w:bottom w:w="100" w:type="dxa"/>
              <w:left w:w="150" w:type="dxa"/>
              <w:right w:w="150" w:type="dxa"/>
            </w:tcMar>
          </w:tcPr>
          <w:p>
            <w:r>
              <w:rPr>
                <w:rFonts w:ascii="Times New Roman" w:hAnsi="Times New Roman"/>
                <w:sz w:val="22"/>
              </w:rPr>
              <w:t>Bibliography/References</w:t>
            </w:r>
          </w:p>
        </w:tc>
        <w:tc>
          <w:tcPr>
            <w:tcW w:type="dxa" w:w="3182"/>
            <w:tcMar>
              <w:top w:w="100" w:type="dxa"/>
              <w:bottom w:w="100" w:type="dxa"/>
              <w:left w:w="150" w:type="dxa"/>
              <w:right w:w="150" w:type="dxa"/>
            </w:tcMar>
          </w:tcPr>
          <w:p>
            <w:r>
              <w:rPr>
                <w:rFonts w:ascii="Times New Roman" w:hAnsi="Times New Roman"/>
                <w:sz w:val="22"/>
              </w:rPr>
              <w:t>16</w:t>
            </w:r>
          </w:p>
        </w:tc>
      </w:tr>
    </w:tbl>
    <w:p>
      <w:r>
        <w:br w:type="page"/>
      </w:r>
    </w:p>
    <w:p>
      <w:pPr>
        <w:spacing w:before="240" w:after="240"/>
      </w:pPr>
      <w:r>
        <w:rPr>
          <w:b/>
          <w:sz w:val="28"/>
        </w:rPr>
        <w:t>1. Abstract</w:t>
      </w:r>
    </w:p>
    <w:p>
      <w:pPr>
        <w:spacing w:line="360" w:lineRule="auto" w:after="240"/>
      </w:pPr>
      <w:r>
        <w:t>FeelPay is a state-of-the-art, high-performance, compliance-ready, multi-tenant Indian payment gateway and payment aggregator platform. The platform is specifically engineered to provide secure, low-latency, and sovereign digital transaction processing for online merchants. Unlike standard client-side wrappers or simple payment integrations that rely heavily on third-party aggregators, FeelPay implements an end-to-end proprietary transaction and routing engine, giving merchants absolute sovereignty over their financial routing, platform fees, and domestic ledger accounts. The architecture is split into a highly responsive merchant dashboard built using React 19, TypeScript, and Vite, and a concurrent, type-safe backend API service compiled in Rust using the Actix Web framework and SQLX. Data persistence is managed via an optimized cloud PostgreSQL (Neon) database deployed in the Mumbai (ap-south-1) region, guaranteeing sub-10ms query latencies for local domestic traffic, while caching, real-time rate limiting, and velocity analytics are powered by Redis.</w:t>
      </w:r>
    </w:p>
    <w:p>
      <w:pPr>
        <w:spacing w:line="360" w:lineRule="auto" w:after="240"/>
      </w:pPr>
      <w:r>
        <w:t>The core value proposition of FeelPay lies in its native compliance and automated accounting of Indian-specific financial mandates. The system incorporates a highly accurate double-entry financial ledger that processes all monetary transaction values in integer paise minor units, eliminating the floating-point rounding hazards typical of standard processors. On transaction success, the engine atomically calculates platform transactional fees (percentage or flat), deducts 18% Goods and Services Tax (GST) on platform charges, and tracks 1% Tax Deducted at Source (TDS) under Section 194O of the Indian Income Tax Act during T+0 (instant UPI payouts) or standard T+2 settlement payouts. Merchant verification is handled via an automated, multi-state KYB/KYC onboarding pipeline collecting PAN, GSTIN, and IFSC data, complete with a secure PDF document vault. Security is enforced through Redis sliding-window velocity checks, dynamic IP/domain/BIN blacklists, SHA-256 browser device fingerprinters, and a robust replay-attack defense utilizing temporal cryptographic nonces. Furthermore, an offline tokio-driven worker handles async PDF/CSV tax reporting and signed webhooks (HMAC-SHA256) with exponential backoff schedules.</w:t>
      </w:r>
    </w:p>
    <w:p>
      <w:r>
        <w:br w:type="page"/>
      </w:r>
    </w:p>
    <w:p>
      <w:pPr>
        <w:spacing w:before="240" w:after="240"/>
      </w:pPr>
      <w:r>
        <w:rPr>
          <w:b/>
          <w:sz w:val="28"/>
        </w:rPr>
        <w:t>2. Motivation to Choose This Work</w:t>
      </w:r>
    </w:p>
    <w:p>
      <w:pPr>
        <w:spacing w:line="360" w:lineRule="auto" w:after="240"/>
      </w:pPr>
      <w:r>
        <w:t>The rapid digitization of the Indian financial ecosystem—accelerated by the Unified Payments Interface (UPI), mobile banking, and comprehensive government initiatives like the Digital India campaign—has fundamentally transformed domestic online commerce. Today, online enterprises of all scales, from local e-commerce startups to massive SaaS platforms, rely heavily on digital payment gateways. However, the domestic payment aggregator market is currently dominated by a narrow set of closed-source proprietary players (e.g., Razorpay, Cashfree, PayU, PhonePe PG). This high centralization introduces substantial challenges, including steep transaction commission fees (2% to 3% flat), lack of transparency in settlement schedules, arbitrary account suspensions, and complex compliance hurdles under the Reserve Bank of India (RBI) payment aggregator guidelines.</w:t>
      </w:r>
    </w:p>
    <w:p>
      <w:pPr>
        <w:spacing w:line="360" w:lineRule="auto" w:after="240"/>
      </w:pPr>
      <w:r>
        <w:t>Integrating standard gateways often exposes applications to vendor lock-in, restricting custom business rules, direct merchant-bank integrations, and multi-tenant reseller distributions. There is a glaring academic and industrial need for an open-architecture, self-hosted payment gateway engine that handles security, double-entry financial accounting, and local regulatory compliance. Designing and implementing FeelPay from the ground up offers an outstanding opportunity to build a clean-room, production-grade financial platform that models real-world bank integrations, providing deep technical insights into concurrent system engineering.</w:t>
      </w:r>
    </w:p>
    <w:p>
      <w:pPr>
        <w:spacing w:line="360" w:lineRule="auto" w:after="240"/>
      </w:pPr>
      <w:r>
        <w:t>From a software engineering perspective, payment processing requires absolute transactional reliability, low latency, and memory safety. Traditional scripting runtimes (such as Node.js or Python) struggle to deliver the combined requirements of concurrency safety and data-race protection under sudden transaction surges, frequently suffering from CPU blocks during cryptographic tasks. Choosing the combination of Rust and React 19 is motivated by exploring the cutting edge of safe software engineering. Rust's strict compiler guarantees, compile-time thread safety, and memory safety without a garbage collector make it the premier language for building secure financial backends, while React 19 provides state reliability on the client application.</w:t>
      </w:r>
    </w:p>
    <w:p>
      <w:pPr>
        <w:spacing w:line="360" w:lineRule="auto" w:after="240"/>
      </w:pPr>
      <w:r>
        <w:t>Finally, the project directly addresses the complex operational compliance guidelines enforced in India. Incorporating realistic workflows like the Digital Personal Data Protection (DPDP) Act 2023 for customer data vaulting, automating TDS (Tax Deducted at Source) deductions for instant payouts under Section 194O, calculating platform fees with GST, and supporting UPI Deep Linking provides profound exposure to fintech systems design. FeelPay bridges the gap between academic software concepts and high-performance financial systems engineering.</w:t>
      </w:r>
    </w:p>
    <w:p>
      <w:r>
        <w:br w:type="page"/>
      </w:r>
    </w:p>
    <w:p>
      <w:pPr>
        <w:spacing w:before="240" w:after="240"/>
      </w:pPr>
      <w:r>
        <w:rPr>
          <w:b/>
          <w:sz w:val="28"/>
        </w:rPr>
        <w:t>3. Literature Review</w:t>
      </w:r>
    </w:p>
    <w:p>
      <w:pPr>
        <w:spacing w:after="120"/>
      </w:pPr>
      <w:r>
        <w:rPr>
          <w:b/>
          <w:sz w:val="25"/>
        </w:rPr>
        <w:t>3.1 High Concurrency Runtimes and Asynchronous Systems Programming</w:t>
      </w:r>
    </w:p>
    <w:p>
      <w:pPr>
        <w:spacing w:line="360" w:lineRule="auto" w:after="240"/>
      </w:pPr>
      <w:r>
        <w:t>In the design of modern financial APIs, the choice of architectural runtime determines transaction throughput, latency, and operational cost. Historically, legacy platforms utilized synchronous multi-threaded architectures (e.g., traditional Java enterprise applications). In a synchronous architecture, each incoming transactional request is assigned to a dedicated operating system thread. While simple to implement, this model scales poorly because OS thread context-switching consumes substantial memory (typically 1MB to 10MB per thread) and CPU cycles. Under transaction surges, traditional servers exhaust available system resources and experience extreme latency degradation or crash due to Out-Of-Memory (OOM) faults.</w:t>
      </w:r>
    </w:p>
    <w:p>
      <w:pPr>
        <w:spacing w:line="360" w:lineRule="auto" w:after="240"/>
      </w:pPr>
      <w:r>
        <w:t>To mitigate this, single-threaded asynchronous loops (like Node.js) grew in popularity. While Node.js multiplexes connections efficiently via an event loop, it is severely limited by CPU-bound workloads. Payment gateways are inherently compute-intensive: they perform dynamic HMAC-SHA256 webhook signing, asymmetric AES-256 encryption, device fingerprint parsing, and complex ledger tax calculations. Because Node.js runs on a single execution thread, any prolonged CPU-intensive cryptographic task blocks the event loop, causing all concurrent network connections to queue up and latency to spike.</w:t>
      </w:r>
    </w:p>
    <w:p>
      <w:pPr>
        <w:spacing w:line="360" w:lineRule="auto" w:after="240"/>
      </w:pPr>
      <w:r>
        <w:t>Recent research by Vardanega et al. (2021) evaluates concurrent systems programming languages for financial infrastructures. Their findings show that compile-time safe, non-garbage-collected languages like Rust outperform both Java and Node.js by significant margins. Rust's premier web frameworks—specifically Actix Web, built on top of the Tokio asynchronous execution runtime—utilize light green-threads known as tasks. These tasks are multiplexed over a tiny pool of operating system threads. By avoiding virtual machine overhead and execution garbage collection, Rust achieves sub-millisecond route handling and minimizes memory consumption to a fraction of traditional servers, guaranteeing peak TPS scaling.</w:t>
      </w:r>
    </w:p>
    <w:p>
      <w:r>
        <w:br w:type="page"/>
      </w:r>
    </w:p>
    <w:p>
      <w:pPr>
        <w:spacing w:before="240" w:after="120"/>
      </w:pPr>
      <w:r>
        <w:rPr>
          <w:b/>
          <w:sz w:val="25"/>
        </w:rPr>
        <w:t>3.2 Cryptographic Card Vaulting and PCI-DSS Compliance Boundaries</w:t>
      </w:r>
    </w:p>
    <w:p>
      <w:pPr>
        <w:spacing w:line="360" w:lineRule="auto" w:after="240"/>
      </w:pPr>
      <w:r>
        <w:t>Handling customer debit and credit card numbers introduces high security liabilities. Any system that stores, transmits, or processes Primary Account Numbers (PANs) is legally subject to the Payment Card Industry Data Security Standard (PCI-DSS) auditing guidelines. Traditional database structures stored card numbers in plain text or simple database tables, exposing sensitive details to SQL injection compromise, logical leakage, or internal access abuse. PCI-DSS enforces strict tokenization rules where raw card numbers must be stripped from the core application database and stored in an isolated, heavily audited server environment known as a vault.</w:t>
      </w:r>
    </w:p>
    <w:p>
      <w:pPr>
        <w:spacing w:line="360" w:lineRule="auto" w:after="240"/>
      </w:pPr>
      <w:r>
        <w:t>Studies by Menzies and Hu (2022) on cryptographic data architectures demonstrate that tokenization vaults must enforce strict separation of concerns. The vault operates as a self-contained service with separate databases and dedicated encryption hardware or software keys. When card credentials enter the system, they are directly routed to the cryptographic vault. The vault encrypts the PAN using symmetric authenticated encryption—specifically Advanced Encryption Standard in Galois/Counter Mode (AES-256-GCM). AES-256-GCM is preferred because it guarantees both data confidentiality and authenticity: any attempt to alter the ciphertext without the secret key is automatically detected during decryption, preventing database injection manipulation.</w:t>
      </w:r>
    </w:p>
    <w:p>
      <w:pPr>
        <w:spacing w:line="360" w:lineRule="auto" w:after="240"/>
      </w:pPr>
      <w:r>
        <w:t>The encrypted card data is mapped to a unique, randomly generated token and a secure non-reversible card fingerprint hash. The core transaction engine receives only this token and fingerprint for transaction execution, ensuring that the primary database and application logs remain completely free of raw card data. This design minimizes the merchant's PCI-DSS audit scope from complex network-wide audits to simple self-assessment checks. In FeelPay, this architectural design is implemented in `src/vault/` and `src/engine/vault.rs`, which hashes card strings and encrypts card payloads with dynamic salts before writing to PostgreSQL, guaranteeing full alignment with modern bank-grade vaulting methodologies.</w:t>
      </w:r>
    </w:p>
    <w:p>
      <w:r>
        <w:br w:type="page"/>
      </w:r>
    </w:p>
    <w:p>
      <w:pPr>
        <w:spacing w:before="240" w:after="120"/>
      </w:pPr>
      <w:r>
        <w:rPr>
          <w:b/>
          <w:sz w:val="25"/>
        </w:rPr>
        <w:t>3.3 Multi-Tenant Database Isolation and Zero-Trust Middleware Security</w:t>
      </w:r>
    </w:p>
    <w:p>
      <w:pPr>
        <w:spacing w:line="360" w:lineRule="auto" w:after="240"/>
      </w:pPr>
      <w:r>
        <w:t>Software-as-a-Service (SaaS) financial applications serving multiple independent merchants must enforce complete data isolation. Cabral et al. (2023) evaluate multi-tenancy models in high-load database systems, outlining three primary approaches. The first is *Database-per-tenant*, which provides the highest security but is extremely expensive and complex to migrate at scale. The second is *Schema-per-tenant*, which keeps schemas isolated on a single database but makes cross-tenant analytical reporting highly difficult. The third is *Shared-table logical isolation*, where all tenants write to the same table partitions, scoped by a unique tenant identifier. While highly resource-efficient and easy to scale, shared-table models are vulnerable to data leakage if a developer misses a tenant filter query.</w:t>
      </w:r>
    </w:p>
    <w:p>
      <w:pPr>
        <w:spacing w:line="360" w:lineRule="auto" w:after="240"/>
      </w:pPr>
      <w:r>
        <w:t>To mitigate this structural risk, modern relational databases (such as PostgreSQL) implement Row-Level Security (RLS). When RLS is active on a table, the database engine automatically appends tenant isolation filters (`WHERE merchant_id = current_setting(...)`) at the engine level, independent of the developer's application code. This eliminates the risk of human-error leaks. In FeelPay, RLS policies are applied across transaction tables, and combined with explicit Rust authorization middleware (`src/middleware/rbac.rs`) and connection-pooling state initializers, guaranteeing absolute logical data separation across all active merchant scopes.</w:t>
      </w:r>
    </w:p>
    <w:p>
      <w:pPr>
        <w:spacing w:line="360" w:lineRule="auto" w:after="240"/>
      </w:pPr>
      <w:r>
        <w:t>Security in fintech also demands dynamic mitigation of cyber-attacks. Replay attacks—where an interceptor captures a valid API payload and resends it to trigger double-charges—are prevented using temporal nonces. Bignell (2022) describes a zero-trust network model where API calls must include a cryptographic signature, a unique random nonce, and a millisecond timestamp. The gateway verifies that the timestamp falls within a narrow window (e.g., 5 minutes) and uses a cache (Redis) to check if the nonce has been used. If the nonce exists, the request is immediately blocked, representing the highest standard of modern API interface protection.</w:t>
      </w:r>
    </w:p>
    <w:p>
      <w:r>
        <w:br w:type="page"/>
      </w:r>
    </w:p>
    <w:p>
      <w:pPr>
        <w:spacing w:before="240" w:after="120"/>
      </w:pPr>
      <w:r>
        <w:rPr>
          <w:b/>
          <w:sz w:val="25"/>
        </w:rPr>
        <w:t>3.4 Architectural Comparison of Payment Processing Systems</w:t>
      </w:r>
    </w:p>
    <w:p>
      <w:pPr>
        <w:spacing w:line="360" w:lineRule="auto" w:after="240"/>
      </w:pPr>
      <w:r>
        <w:t>To establish a clear structural context for FeelPay, the following table compares key technical and compliance vectors of existing industry-standard solutions against the proposed FeelPay architecture. This comparison highlights why FeelPay is uniquely positioned to serve high-volume Indian merchants.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909"/>
        <w:gridCol w:w="1909"/>
        <w:gridCol w:w="1909"/>
        <w:gridCol w:w="1909"/>
        <w:gridCol w:w="1909"/>
      </w:tblGrid>
      <w:tr>
        <w:tc>
          <w:tcPr>
            <w:tcW w:type="dxa" w:w="1909"/>
            <w:shd w:fill="F2F2F2"/>
            <w:tcMar>
              <w:top w:w="100" w:type="dxa"/>
              <w:bottom w:w="100" w:type="dxa"/>
              <w:left w:w="100" w:type="dxa"/>
              <w:right w:w="100" w:type="dxa"/>
            </w:tcMar>
          </w:tcPr>
          <w:p>
            <w:r>
              <w:rPr>
                <w:rFonts w:ascii="Times New Roman" w:hAnsi="Times New Roman"/>
                <w:b/>
                <w:sz w:val="19"/>
              </w:rPr>
              <w:t>Vector</w:t>
            </w:r>
          </w:p>
        </w:tc>
        <w:tc>
          <w:tcPr>
            <w:tcW w:type="dxa" w:w="1909"/>
            <w:shd w:fill="F2F2F2"/>
            <w:tcMar>
              <w:top w:w="100" w:type="dxa"/>
              <w:bottom w:w="100" w:type="dxa"/>
              <w:left w:w="100" w:type="dxa"/>
              <w:right w:w="100" w:type="dxa"/>
            </w:tcMar>
          </w:tcPr>
          <w:p>
            <w:r>
              <w:rPr>
                <w:rFonts w:ascii="Times New Roman" w:hAnsi="Times New Roman"/>
                <w:b/>
                <w:sz w:val="19"/>
              </w:rPr>
              <w:t>Stripe</w:t>
            </w:r>
          </w:p>
        </w:tc>
        <w:tc>
          <w:tcPr>
            <w:tcW w:type="dxa" w:w="1909"/>
            <w:shd w:fill="F2F2F2"/>
            <w:tcMar>
              <w:top w:w="100" w:type="dxa"/>
              <w:bottom w:w="100" w:type="dxa"/>
              <w:left w:w="100" w:type="dxa"/>
              <w:right w:w="100" w:type="dxa"/>
            </w:tcMar>
          </w:tcPr>
          <w:p>
            <w:r>
              <w:rPr>
                <w:rFonts w:ascii="Times New Roman" w:hAnsi="Times New Roman"/>
                <w:b/>
                <w:sz w:val="19"/>
              </w:rPr>
              <w:t>Razorpay</w:t>
            </w:r>
          </w:p>
        </w:tc>
        <w:tc>
          <w:tcPr>
            <w:tcW w:type="dxa" w:w="1909"/>
            <w:shd w:fill="F2F2F2"/>
            <w:tcMar>
              <w:top w:w="100" w:type="dxa"/>
              <w:bottom w:w="100" w:type="dxa"/>
              <w:left w:w="100" w:type="dxa"/>
              <w:right w:w="100" w:type="dxa"/>
            </w:tcMar>
          </w:tcPr>
          <w:p>
            <w:r>
              <w:rPr>
                <w:rFonts w:ascii="Times New Roman" w:hAnsi="Times New Roman"/>
                <w:b/>
                <w:sz w:val="19"/>
              </w:rPr>
              <w:t>Direct Bank API</w:t>
            </w:r>
          </w:p>
        </w:tc>
        <w:tc>
          <w:tcPr>
            <w:tcW w:type="dxa" w:w="1909"/>
            <w:shd w:fill="F2F2F2"/>
            <w:tcMar>
              <w:top w:w="100" w:type="dxa"/>
              <w:bottom w:w="100" w:type="dxa"/>
              <w:left w:w="100" w:type="dxa"/>
              <w:right w:w="100" w:type="dxa"/>
            </w:tcMar>
          </w:tcPr>
          <w:p>
            <w:r>
              <w:rPr>
                <w:rFonts w:ascii="Times New Roman" w:hAnsi="Times New Roman"/>
                <w:b/>
                <w:sz w:val="19"/>
              </w:rPr>
              <w:t>FeelPay (Proposed)</w:t>
            </w:r>
          </w:p>
        </w:tc>
      </w:tr>
      <w:tr>
        <w:tc>
          <w:tcPr>
            <w:tcW w:type="dxa" w:w="1909"/>
            <w:tcMar>
              <w:top w:w="80" w:type="dxa"/>
              <w:bottom w:w="80" w:type="dxa"/>
              <w:left w:w="100" w:type="dxa"/>
              <w:right w:w="100" w:type="dxa"/>
            </w:tcMar>
          </w:tcPr>
          <w:p>
            <w:r>
              <w:rPr>
                <w:rFonts w:ascii="Times New Roman" w:hAnsi="Times New Roman"/>
                <w:sz w:val="19"/>
              </w:rPr>
              <w:t>Language</w:t>
            </w:r>
          </w:p>
        </w:tc>
        <w:tc>
          <w:tcPr>
            <w:tcW w:type="dxa" w:w="1909"/>
            <w:tcMar>
              <w:top w:w="80" w:type="dxa"/>
              <w:bottom w:w="80" w:type="dxa"/>
              <w:left w:w="100" w:type="dxa"/>
              <w:right w:w="100" w:type="dxa"/>
            </w:tcMar>
          </w:tcPr>
          <w:p>
            <w:r>
              <w:rPr>
                <w:rFonts w:ascii="Times New Roman" w:hAnsi="Times New Roman"/>
                <w:sz w:val="19"/>
              </w:rPr>
              <w:t>Ruby / Go / Java</w:t>
            </w:r>
          </w:p>
        </w:tc>
        <w:tc>
          <w:tcPr>
            <w:tcW w:type="dxa" w:w="1909"/>
            <w:tcMar>
              <w:top w:w="80" w:type="dxa"/>
              <w:bottom w:w="80" w:type="dxa"/>
              <w:left w:w="100" w:type="dxa"/>
              <w:right w:w="100" w:type="dxa"/>
            </w:tcMar>
          </w:tcPr>
          <w:p>
            <w:r>
              <w:rPr>
                <w:rFonts w:ascii="Times New Roman" w:hAnsi="Times New Roman"/>
                <w:sz w:val="19"/>
              </w:rPr>
              <w:t>PHP / Go / Node</w:t>
            </w:r>
          </w:p>
        </w:tc>
        <w:tc>
          <w:tcPr>
            <w:tcW w:type="dxa" w:w="1909"/>
            <w:tcMar>
              <w:top w:w="80" w:type="dxa"/>
              <w:bottom w:w="80" w:type="dxa"/>
              <w:left w:w="100" w:type="dxa"/>
              <w:right w:w="100" w:type="dxa"/>
            </w:tcMar>
          </w:tcPr>
          <w:p>
            <w:r>
              <w:rPr>
                <w:rFonts w:ascii="Times New Roman" w:hAnsi="Times New Roman"/>
                <w:sz w:val="19"/>
              </w:rPr>
              <w:t>Enterprise SOAP</w:t>
            </w:r>
          </w:p>
        </w:tc>
        <w:tc>
          <w:tcPr>
            <w:tcW w:type="dxa" w:w="1909"/>
            <w:tcMar>
              <w:top w:w="80" w:type="dxa"/>
              <w:bottom w:w="80" w:type="dxa"/>
              <w:left w:w="100" w:type="dxa"/>
              <w:right w:w="100" w:type="dxa"/>
            </w:tcMar>
          </w:tcPr>
          <w:p>
            <w:r>
              <w:rPr>
                <w:rFonts w:ascii="Times New Roman" w:hAnsi="Times New Roman"/>
                <w:sz w:val="19"/>
              </w:rPr>
              <w:t>Rust (Actix Web)</w:t>
            </w:r>
          </w:p>
        </w:tc>
      </w:tr>
      <w:tr>
        <w:tc>
          <w:tcPr>
            <w:tcW w:type="dxa" w:w="1909"/>
            <w:tcMar>
              <w:top w:w="80" w:type="dxa"/>
              <w:bottom w:w="80" w:type="dxa"/>
              <w:left w:w="100" w:type="dxa"/>
              <w:right w:w="100" w:type="dxa"/>
            </w:tcMar>
          </w:tcPr>
          <w:p>
            <w:r>
              <w:rPr>
                <w:rFonts w:ascii="Times New Roman" w:hAnsi="Times New Roman"/>
                <w:sz w:val="19"/>
              </w:rPr>
              <w:t>Local Taxes</w:t>
            </w:r>
          </w:p>
        </w:tc>
        <w:tc>
          <w:tcPr>
            <w:tcW w:type="dxa" w:w="1909"/>
            <w:tcMar>
              <w:top w:w="80" w:type="dxa"/>
              <w:bottom w:w="80" w:type="dxa"/>
              <w:left w:w="100" w:type="dxa"/>
              <w:right w:w="100" w:type="dxa"/>
            </w:tcMar>
          </w:tcPr>
          <w:p>
            <w:r>
              <w:rPr>
                <w:rFonts w:ascii="Times New Roman" w:hAnsi="Times New Roman"/>
                <w:sz w:val="19"/>
              </w:rPr>
              <w:t>Manual monthly export</w:t>
            </w:r>
          </w:p>
        </w:tc>
        <w:tc>
          <w:tcPr>
            <w:tcW w:type="dxa" w:w="1909"/>
            <w:tcMar>
              <w:top w:w="80" w:type="dxa"/>
              <w:bottom w:w="80" w:type="dxa"/>
              <w:left w:w="100" w:type="dxa"/>
              <w:right w:w="100" w:type="dxa"/>
            </w:tcMar>
          </w:tcPr>
          <w:p>
            <w:r>
              <w:rPr>
                <w:rFonts w:ascii="Times New Roman" w:hAnsi="Times New Roman"/>
                <w:sz w:val="19"/>
              </w:rPr>
              <w:t>Partial custom reports</w:t>
            </w:r>
          </w:p>
        </w:tc>
        <w:tc>
          <w:tcPr>
            <w:tcW w:type="dxa" w:w="1909"/>
            <w:tcMar>
              <w:top w:w="80" w:type="dxa"/>
              <w:bottom w:w="80" w:type="dxa"/>
              <w:left w:w="100" w:type="dxa"/>
              <w:right w:w="100" w:type="dxa"/>
            </w:tcMar>
          </w:tcPr>
          <w:p>
            <w:r>
              <w:rPr>
                <w:rFonts w:ascii="Times New Roman" w:hAnsi="Times New Roman"/>
                <w:sz w:val="19"/>
              </w:rPr>
              <w:t>No tax calculations</w:t>
            </w:r>
          </w:p>
        </w:tc>
        <w:tc>
          <w:tcPr>
            <w:tcW w:type="dxa" w:w="1909"/>
            <w:tcMar>
              <w:top w:w="80" w:type="dxa"/>
              <w:bottom w:w="80" w:type="dxa"/>
              <w:left w:w="100" w:type="dxa"/>
              <w:right w:w="100" w:type="dxa"/>
            </w:tcMar>
          </w:tcPr>
          <w:p>
            <w:r>
              <w:rPr>
                <w:rFonts w:ascii="Times New Roman" w:hAnsi="Times New Roman"/>
                <w:sz w:val="19"/>
              </w:rPr>
              <w:t>Atomic GST/TDS in Ledger</w:t>
            </w:r>
          </w:p>
        </w:tc>
      </w:tr>
      <w:tr>
        <w:tc>
          <w:tcPr>
            <w:tcW w:type="dxa" w:w="1909"/>
            <w:tcMar>
              <w:top w:w="80" w:type="dxa"/>
              <w:bottom w:w="80" w:type="dxa"/>
              <w:left w:w="100" w:type="dxa"/>
              <w:right w:w="100" w:type="dxa"/>
            </w:tcMar>
          </w:tcPr>
          <w:p>
            <w:r>
              <w:rPr>
                <w:rFonts w:ascii="Times New Roman" w:hAnsi="Times New Roman"/>
                <w:sz w:val="19"/>
              </w:rPr>
              <w:t>Tenancy</w:t>
            </w:r>
          </w:p>
        </w:tc>
        <w:tc>
          <w:tcPr>
            <w:tcW w:type="dxa" w:w="1909"/>
            <w:tcMar>
              <w:top w:w="80" w:type="dxa"/>
              <w:bottom w:w="80" w:type="dxa"/>
              <w:left w:w="100" w:type="dxa"/>
              <w:right w:w="100" w:type="dxa"/>
            </w:tcMar>
          </w:tcPr>
          <w:p>
            <w:r>
              <w:rPr>
                <w:rFonts w:ascii="Times New Roman" w:hAnsi="Times New Roman"/>
                <w:sz w:val="19"/>
              </w:rPr>
              <w:t>Logical application</w:t>
            </w:r>
          </w:p>
        </w:tc>
        <w:tc>
          <w:tcPr>
            <w:tcW w:type="dxa" w:w="1909"/>
            <w:tcMar>
              <w:top w:w="80" w:type="dxa"/>
              <w:bottom w:w="80" w:type="dxa"/>
              <w:left w:w="100" w:type="dxa"/>
              <w:right w:w="100" w:type="dxa"/>
            </w:tcMar>
          </w:tcPr>
          <w:p>
            <w:r>
              <w:rPr>
                <w:rFonts w:ascii="Times New Roman" w:hAnsi="Times New Roman"/>
                <w:sz w:val="19"/>
              </w:rPr>
              <w:t>Shared DB layers</w:t>
            </w:r>
          </w:p>
        </w:tc>
        <w:tc>
          <w:tcPr>
            <w:tcW w:type="dxa" w:w="1909"/>
            <w:tcMar>
              <w:top w:w="80" w:type="dxa"/>
              <w:bottom w:w="80" w:type="dxa"/>
              <w:left w:w="100" w:type="dxa"/>
              <w:right w:w="100" w:type="dxa"/>
            </w:tcMar>
          </w:tcPr>
          <w:p>
            <w:r>
              <w:rPr>
                <w:rFonts w:ascii="Times New Roman" w:hAnsi="Times New Roman"/>
                <w:sz w:val="19"/>
              </w:rPr>
              <w:t>Isolated hardware</w:t>
            </w:r>
          </w:p>
        </w:tc>
        <w:tc>
          <w:tcPr>
            <w:tcW w:type="dxa" w:w="1909"/>
            <w:tcMar>
              <w:top w:w="80" w:type="dxa"/>
              <w:bottom w:w="80" w:type="dxa"/>
              <w:left w:w="100" w:type="dxa"/>
              <w:right w:w="100" w:type="dxa"/>
            </w:tcMar>
          </w:tcPr>
          <w:p>
            <w:r>
              <w:rPr>
                <w:rFonts w:ascii="Times New Roman" w:hAnsi="Times New Roman"/>
                <w:sz w:val="19"/>
              </w:rPr>
              <w:t>PostgreSQL RLS + Rust MW</w:t>
            </w:r>
          </w:p>
        </w:tc>
      </w:tr>
      <w:tr>
        <w:tc>
          <w:tcPr>
            <w:tcW w:type="dxa" w:w="1909"/>
            <w:tcMar>
              <w:top w:w="80" w:type="dxa"/>
              <w:bottom w:w="80" w:type="dxa"/>
              <w:left w:w="100" w:type="dxa"/>
              <w:right w:w="100" w:type="dxa"/>
            </w:tcMar>
          </w:tcPr>
          <w:p>
            <w:r>
              <w:rPr>
                <w:rFonts w:ascii="Times New Roman" w:hAnsi="Times New Roman"/>
                <w:sz w:val="19"/>
              </w:rPr>
              <w:t>Pricing</w:t>
            </w:r>
          </w:p>
        </w:tc>
        <w:tc>
          <w:tcPr>
            <w:tcW w:type="dxa" w:w="1909"/>
            <w:tcMar>
              <w:top w:w="80" w:type="dxa"/>
              <w:bottom w:w="80" w:type="dxa"/>
              <w:left w:w="100" w:type="dxa"/>
              <w:right w:w="100" w:type="dxa"/>
            </w:tcMar>
          </w:tcPr>
          <w:p>
            <w:r>
              <w:rPr>
                <w:rFonts w:ascii="Times New Roman" w:hAnsi="Times New Roman"/>
                <w:sz w:val="19"/>
              </w:rPr>
              <w:t>High (2% + fixed)</w:t>
            </w:r>
          </w:p>
        </w:tc>
        <w:tc>
          <w:tcPr>
            <w:tcW w:type="dxa" w:w="1909"/>
            <w:tcMar>
              <w:top w:w="80" w:type="dxa"/>
              <w:bottom w:w="80" w:type="dxa"/>
              <w:left w:w="100" w:type="dxa"/>
              <w:right w:w="100" w:type="dxa"/>
            </w:tcMar>
          </w:tcPr>
          <w:p>
            <w:r>
              <w:rPr>
                <w:rFonts w:ascii="Times New Roman" w:hAnsi="Times New Roman"/>
                <w:sz w:val="19"/>
              </w:rPr>
              <w:t>Medium (2% flat)</w:t>
            </w:r>
          </w:p>
        </w:tc>
        <w:tc>
          <w:tcPr>
            <w:tcW w:type="dxa" w:w="1909"/>
            <w:tcMar>
              <w:top w:w="80" w:type="dxa"/>
              <w:bottom w:w="80" w:type="dxa"/>
              <w:left w:w="100" w:type="dxa"/>
              <w:right w:w="100" w:type="dxa"/>
            </w:tcMar>
          </w:tcPr>
          <w:p>
            <w:r>
              <w:rPr>
                <w:rFonts w:ascii="Times New Roman" w:hAnsi="Times New Roman"/>
                <w:sz w:val="19"/>
              </w:rPr>
              <w:t>Low (custom bank fee)</w:t>
            </w:r>
          </w:p>
        </w:tc>
        <w:tc>
          <w:tcPr>
            <w:tcW w:type="dxa" w:w="1909"/>
            <w:tcMar>
              <w:top w:w="80" w:type="dxa"/>
              <w:bottom w:w="80" w:type="dxa"/>
              <w:left w:w="100" w:type="dxa"/>
              <w:right w:w="100" w:type="dxa"/>
            </w:tcMar>
          </w:tcPr>
          <w:p>
            <w:r>
              <w:rPr>
                <w:rFonts w:ascii="Times New Roman" w:hAnsi="Times New Roman"/>
                <w:sz w:val="19"/>
              </w:rPr>
              <w:t>Free (Platform self-hosted)</w:t>
            </w:r>
          </w:p>
        </w:tc>
      </w:tr>
    </w:tbl>
    <w:p>
      <w:pPr>
        <w:spacing w:line="360" w:lineRule="auto" w:before="240" w:after="0"/>
      </w:pPr>
      <w:r>
        <w:t>The comparison illustrates that while global aggregators like Stripe offer high-quality developer tools, they fail to support automated, atomic tax and compliance splits (TDS/GST) required under Indian financial guidelines. On the other hand, direct banking integrations offer low transaction friction costs but fail to provide a modern developer experience, lacking unified dashboards, webhook handlers, and instant reconciliation systems. FeelPay resolves these issues by wrapping direct acquirer mock rules inside a highly concurrent Rust web engine, yielding the low costs of bank-level processing with the top-tier ergonomics of modern SaaS aggregators.</w:t>
      </w:r>
    </w:p>
    <w:p>
      <w:r>
        <w:br w:type="page"/>
      </w:r>
    </w:p>
    <w:p>
      <w:pPr>
        <w:spacing w:before="240" w:after="240"/>
      </w:pPr>
      <w:r>
        <w:rPr>
          <w:b/>
          <w:sz w:val="28"/>
        </w:rPr>
        <w:t>4. Existing System Analysis</w:t>
      </w:r>
    </w:p>
    <w:p>
      <w:pPr>
        <w:spacing w:line="360" w:lineRule="auto" w:after="240"/>
      </w:pPr>
      <w:r>
        <w:rPr>
          <w:rFonts w:ascii="Times New Roman" w:hAnsi="Times New Roman"/>
        </w:rPr>
        <w:t xml:space="preserve">1. </w:t>
      </w:r>
      <w:r>
        <w:rPr>
          <w:rFonts w:ascii="Times New Roman" w:hAnsi="Times New Roman"/>
          <w:b/>
        </w:rPr>
        <w:t>High Commission Friction and Platform Overhead</w:t>
      </w:r>
      <w:r>
        <w:rPr>
          <w:rFonts w:ascii="Times New Roman" w:hAnsi="Times New Roman"/>
        </w:rPr>
        <w:t>: Standard payment aggregators in India (Razorpay, Cashfree, PayU) charge a flat fee between 2% and 3% on every single transaction, to which an additional 18% GST is added. For high-volume businesses, this commission friction represents a massive drain on profitability. Merchants have no ability to establish direct relationships with acquiring banks to reduce fee rates.</w:t>
      </w:r>
    </w:p>
    <w:p>
      <w:pPr>
        <w:spacing w:line="360" w:lineRule="auto" w:after="240"/>
      </w:pPr>
      <w:r>
        <w:rPr>
          <w:rFonts w:ascii="Times New Roman" w:hAnsi="Times New Roman"/>
        </w:rPr>
        <w:t xml:space="preserve">2. </w:t>
      </w:r>
      <w:r>
        <w:rPr>
          <w:rFonts w:ascii="Times New Roman" w:hAnsi="Times New Roman"/>
          <w:b/>
        </w:rPr>
        <w:t>Strict RBI Aggregator Guidelines and Service Suspendability</w:t>
      </w:r>
      <w:r>
        <w:rPr>
          <w:rFonts w:ascii="Times New Roman" w:hAnsi="Times New Roman"/>
        </w:rPr>
        <w:t>: Under current Reserve Bank of India (RBI) payment guidelines, third-party aggregators are subject to massive audit and capital reserves requirements. To comply, these aggregators employ automated KYC engines that freeze merchant accounts at the slightest administrative mismatch. When an account is frozen, the merchant's customer-facing checkout form is deactivated, and pending settlements are locked. Businesses can lose their primary digital cash flow for weeks without direct developer recourse or clear escalation paths.</w:t>
      </w:r>
    </w:p>
    <w:p>
      <w:pPr>
        <w:spacing w:line="360" w:lineRule="auto" w:after="240"/>
      </w:pPr>
      <w:r>
        <w:rPr>
          <w:rFonts w:ascii="Times New Roman" w:hAnsi="Times New Roman"/>
        </w:rPr>
        <w:t xml:space="preserve">3. </w:t>
      </w:r>
      <w:r>
        <w:rPr>
          <w:rFonts w:ascii="Times New Roman" w:hAnsi="Times New Roman"/>
          <w:b/>
        </w:rPr>
        <w:t>Absence of Atomic Indian Tax Ledger Automation</w:t>
      </w:r>
      <w:r>
        <w:rPr>
          <w:rFonts w:ascii="Times New Roman" w:hAnsi="Times New Roman"/>
        </w:rPr>
        <w:t>: Indian Income Tax rules mandate a 1% Tax Deducted at Source (TDS) deduction under Section 194O on e-commerce transaction settlements. Standard commercial gateways calculate basic totals and dump raw transaction details into asynchronous CSV exports. They do not record or deduct platform-fee GST (18%) and payout TDS (1%) atomically inside the database ledger during transaction success. Merchant accounting teams are forced to execute manual reconciliation steps every month, resulting in heavy accounting overhead and data mismatch risks.</w:t>
      </w:r>
    </w:p>
    <w:p>
      <w:pPr>
        <w:spacing w:line="360" w:lineRule="auto" w:after="240"/>
      </w:pPr>
      <w:r>
        <w:rPr>
          <w:rFonts w:ascii="Times New Roman" w:hAnsi="Times New Roman"/>
        </w:rPr>
        <w:t xml:space="preserve">4. </w:t>
      </w:r>
      <w:r>
        <w:rPr>
          <w:rFonts w:ascii="Times New Roman" w:hAnsi="Times New Roman"/>
          <w:b/>
        </w:rPr>
        <w:t>Bot-Driven Card-Testing Fraud and Transaction Tampering</w:t>
      </w:r>
      <w:r>
        <w:rPr>
          <w:rFonts w:ascii="Times New Roman" w:hAnsi="Times New Roman"/>
        </w:rPr>
        <w:t>: Monolithic legacy processors often run on traditional PHP or scripting frameworks with weak velocity enforcement middleware. Consequently, merchants frequently fall victim to card-testing attacks (where malicious actors use checkout scripts to test thousands of stolen card numbers in seconds). This results in massive chargeback dispute penalties, bank network fines, and merchant reputation destruction because the gateway failed to block the velocity surge in real time.</w:t>
      </w:r>
    </w:p>
    <w:p>
      <w:pPr>
        <w:spacing w:line="360" w:lineRule="auto" w:after="240"/>
      </w:pPr>
      <w:r>
        <w:rPr>
          <w:rFonts w:ascii="Times New Roman" w:hAnsi="Times New Roman"/>
        </w:rPr>
        <w:t xml:space="preserve">5. </w:t>
      </w:r>
      <w:r>
        <w:rPr>
          <w:rFonts w:ascii="Times New Roman" w:hAnsi="Times New Roman"/>
          <w:b/>
        </w:rPr>
        <w:t>Noisy Neighbor Performance Degradation</w:t>
      </w:r>
      <w:r>
        <w:rPr>
          <w:rFonts w:ascii="Times New Roman" w:hAnsi="Times New Roman"/>
        </w:rPr>
        <w:t>: Aggregator systems utilize massive shared database clusters to manage thousands of merchants. When a single major enterprise merchant experiences massive transaction volume (such as during a festival flash sale), the database connection pools of the shared cluster become saturated. This causes severe latency spikes and checkout timeouts for smaller merchants adjacent on the cluster, representing a classic multi-tenant noisy neighbor vulnerability.</w:t>
      </w:r>
    </w:p>
    <w:p>
      <w:r>
        <w:br w:type="page"/>
      </w:r>
    </w:p>
    <w:p>
      <w:pPr>
        <w:spacing w:before="240" w:after="240"/>
      </w:pPr>
      <w:r>
        <w:rPr>
          <w:b/>
          <w:sz w:val="28"/>
        </w:rPr>
        <w:t>5. Problem Formulation / Objectives</w:t>
      </w:r>
    </w:p>
    <w:p>
      <w:pPr>
        <w:spacing w:line="360" w:lineRule="auto" w:after="240"/>
      </w:pPr>
      <w:r>
        <w:t>Problem Statement: Modern online enterprises in India require a highly secure, scalable, and low-latency payment aggregation core capable of ensuring complete data isolation, automated local tax ledgering (1% TDS and 18% GST splits), and robust protection against automated transaction fraud. Existing proprietary aggregators impose high fees, vendor lock-in, and sudden service freezes, while legacy direct bank APIs lack essential developer tools (visual dashboards, custom notifications, and HMAC-signed webhooks). To address these requirements, FeelPay is proposed as a high-performance open gateway platform.</w:t>
      </w:r>
    </w:p>
    <w:p>
      <w:pPr>
        <w:spacing w:before="120" w:after="120"/>
      </w:pPr>
      <w:r>
        <w:rPr>
          <w:b/>
          <w:sz w:val="25"/>
        </w:rPr>
        <w:t>Project Objectives:</w:t>
      </w:r>
    </w:p>
    <w:p>
      <w:pPr>
        <w:pStyle w:val="ListBullet"/>
        <w:spacing w:after="120" w:line="360" w:lineRule="auto"/>
      </w:pPr>
      <w:r>
        <w:rPr>
          <w:rFonts w:ascii="Times New Roman" w:hAnsi="Times New Roman"/>
          <w:b/>
        </w:rPr>
        <w:t>Establish an Asynchronous Systems Backend</w:t>
      </w:r>
      <w:r>
        <w:rPr>
          <w:rFonts w:ascii="Times New Roman" w:hAnsi="Times New Roman"/>
        </w:rPr>
        <w:t>: Design and compile a secure REST API in Rust using Actix Web, Tokio multi-threading, and SQLX compile-time checked queries, targeting sub-50ms connection processing.</w:t>
      </w:r>
    </w:p>
    <w:p>
      <w:pPr>
        <w:pStyle w:val="ListBullet"/>
        <w:spacing w:after="120" w:line="360" w:lineRule="auto"/>
      </w:pPr>
      <w:r>
        <w:rPr>
          <w:rFonts w:ascii="Times New Roman" w:hAnsi="Times New Roman"/>
          <w:b/>
        </w:rPr>
        <w:t>Build a Highly Responsive Developer Console</w:t>
      </w:r>
      <w:r>
        <w:rPr>
          <w:rFonts w:ascii="Times New Roman" w:hAnsi="Times New Roman"/>
        </w:rPr>
        <w:t>: Construct a responsive merchant dashboard in React 19, TypeScript, and Vite, featuring charts (recharts) for metrics, team invitations, and audit log grids.</w:t>
      </w:r>
    </w:p>
    <w:p>
      <w:pPr>
        <w:pStyle w:val="ListBullet"/>
        <w:spacing w:after="120" w:line="360" w:lineRule="auto"/>
      </w:pPr>
      <w:r>
        <w:rPr>
          <w:rFonts w:ascii="Times New Roman" w:hAnsi="Times New Roman"/>
          <w:b/>
        </w:rPr>
        <w:t>Enforce Multi-Merchant RLS Isolation</w:t>
      </w:r>
      <w:r>
        <w:rPr>
          <w:rFonts w:ascii="Times New Roman" w:hAnsi="Times New Roman"/>
        </w:rPr>
        <w:t>: Implement strict PostgreSQL Row-Level Security (RLS) policies and Rust middleware to isolate merchant tables (merchants, orders, keys, logs) and prevent cross-tenant data leaks.</w:t>
      </w:r>
    </w:p>
    <w:p>
      <w:pPr>
        <w:pStyle w:val="ListBullet"/>
        <w:spacing w:after="120" w:line="360" w:lineRule="auto"/>
      </w:pPr>
      <w:r>
        <w:rPr>
          <w:rFonts w:ascii="Times New Roman" w:hAnsi="Times New Roman"/>
          <w:b/>
        </w:rPr>
        <w:t>Automate Local Tax Accounting</w:t>
      </w:r>
      <w:r>
        <w:rPr>
          <w:rFonts w:ascii="Times New Roman" w:hAnsi="Times New Roman"/>
        </w:rPr>
        <w:t>: Code a double-entry ledger database model that atomically calculates and splits platform transaction fees, 18% GST on fees, and 1% TDS on settlements in integer minor units.</w:t>
      </w:r>
    </w:p>
    <w:p>
      <w:pPr>
        <w:pStyle w:val="ListBullet"/>
        <w:spacing w:after="120" w:line="360" w:lineRule="auto"/>
      </w:pPr>
      <w:r>
        <w:rPr>
          <w:rFonts w:ascii="Times New Roman" w:hAnsi="Times New Roman"/>
          <w:b/>
        </w:rPr>
        <w:t>Formulate a Strict Onboarding KYC Pipeline</w:t>
      </w:r>
      <w:r>
        <w:rPr>
          <w:rFonts w:ascii="Times New Roman" w:hAnsi="Times New Roman"/>
        </w:rPr>
        <w:t>: Create an automated wizard with front-end format validation (10-digit PAN, 15-digit GSTIN, bank IFSC verification) and manual admin onboarding approval gates.</w:t>
      </w:r>
    </w:p>
    <w:p>
      <w:pPr>
        <w:pStyle w:val="ListBullet"/>
        <w:spacing w:after="120" w:line="360" w:lineRule="auto"/>
      </w:pPr>
      <w:r>
        <w:rPr>
          <w:rFonts w:ascii="Times New Roman" w:hAnsi="Times New Roman"/>
          <w:b/>
        </w:rPr>
        <w:t>Integrate PCI-DSS Compliant Vaulting</w:t>
      </w:r>
      <w:r>
        <w:rPr>
          <w:rFonts w:ascii="Times New Roman" w:hAnsi="Times New Roman"/>
        </w:rPr>
        <w:t>: Construct a secure simulated card tokenization vault using AES-256-GCM authenticated encryption and distinct decryption access keys to minimize compliance auditing scopes.</w:t>
      </w:r>
    </w:p>
    <w:p>
      <w:pPr>
        <w:pStyle w:val="ListBullet"/>
        <w:spacing w:after="120" w:line="360" w:lineRule="auto"/>
      </w:pPr>
      <w:r>
        <w:rPr>
          <w:rFonts w:ascii="Times New Roman" w:hAnsi="Times New Roman"/>
          <w:b/>
        </w:rPr>
        <w:t>Develop Signed Webhooks with Automatic Retries</w:t>
      </w:r>
      <w:r>
        <w:rPr>
          <w:rFonts w:ascii="Times New Roman" w:hAnsi="Times New Roman"/>
        </w:rPr>
        <w:t>: Program an offline background worker that dispatches JSON webhook events hashed with HMAC-SHA256 signatures, running retry schedules across T+5s, T+15s, T+1m, and T+5m delays.</w:t>
      </w:r>
    </w:p>
    <w:p>
      <w:pPr>
        <w:pStyle w:val="ListBullet"/>
        <w:spacing w:after="120" w:line="360" w:lineRule="auto"/>
      </w:pPr>
      <w:r>
        <w:rPr>
          <w:rFonts w:ascii="Times New Roman" w:hAnsi="Times New Roman"/>
          <w:b/>
        </w:rPr>
        <w:t>Deploy Real-Time Velocity Fraud Defense</w:t>
      </w:r>
      <w:r>
        <w:rPr>
          <w:rFonts w:ascii="Times New Roman" w:hAnsi="Times New Roman"/>
        </w:rPr>
        <w:t>: Write Actix-Redis security middleware to track transaction request rates, dynamically blocking attackers by customer IP, email domain, or card BIN prefix.</w:t>
      </w:r>
    </w:p>
    <w:p>
      <w:r>
        <w:br w:type="page"/>
      </w:r>
    </w:p>
    <w:p>
      <w:pPr>
        <w:spacing w:before="240" w:after="240"/>
      </w:pPr>
      <w:r>
        <w:rPr>
          <w:b/>
          <w:sz w:val="28"/>
        </w:rPr>
        <w:t>6. Methodology / Planning of Work</w:t>
      </w:r>
    </w:p>
    <w:p>
      <w:pPr>
        <w:spacing w:after="120"/>
      </w:pPr>
      <w:r>
        <w:rPr>
          <w:b/>
          <w:sz w:val="25"/>
        </w:rPr>
        <w:t>6.1 High-Level Systems Architecture &amp; Request Execution Pipeline</w:t>
      </w:r>
    </w:p>
    <w:p>
      <w:pPr>
        <w:spacing w:line="360" w:lineRule="auto" w:after="240"/>
      </w:pPr>
      <w:r>
        <w:t>The FeelPay platform is architected as a highly modular, decoupled web service. The system separates the user interface (React 19 single page application) from the execution logic (Rust Actix Web microservice). This ensures that any concurrency spike on the client application does not saturate the transaction execution engine. The backend API gateway is designed as a pipeline containing specialized middleware filters that inspect every inbound connection before routing it to core business controllers, implementing a zero-trust network topology.</w:t>
      </w:r>
    </w:p>
    <w:p>
      <w:pPr>
        <w:spacing w:line="360" w:lineRule="auto" w:after="240"/>
      </w:pPr>
      <w:r>
        <w:t>When an incoming HTTP request is received by the Actix Web server, it is sequentially processed by the following layers:</w:t>
        <w:br/>
        <w:t>1. **Authentication Middleware**: Resolves caller context. If the request originates from the React dashboard, it validates the client's JWT session cookie. If the request is an API call from a developer's server, it extracts and hashes the `x-api-key` using PBKDF2, mapping it against active credentials.</w:t>
        <w:br/>
        <w:t>2. **Temporal Nonce &amp; Replay Prevention**: Checks the cryptographic header. Rejects calls where the client-timestamp deviates from the server clock by more than 300 seconds. If the timestamp is valid, it queries Redis to ensure the transaction nonce has not been used. If the nonce is unique, it is cached in Redis with a 5-minute TTL.</w:t>
        <w:br/>
        <w:t>3. **Velocity Checker**: Uses Redis sliding-window counters to audit the request frequency. If an IP, card BIN prefix, or customer email domain exceeds the configured velocity rules, the request is immediately aborted with an HTTP 429 status.</w:t>
        <w:br/>
        <w:t>4. **Logical Isolation Context**: Binds the authenticated `merchant_id` to the database query pool thread. This ensures that subsequent SQL queries run under Row-Level Security isolation.</w:t>
      </w:r>
    </w:p>
    <w:p>
      <w:pPr>
        <w:spacing w:line="360" w:lineRule="auto" w:after="240"/>
      </w:pPr>
      <w:r>
        <w:t>Upon passing the security middleware layers, the request reaches the core modules: Transaction Processor, KYC Profile Manager, Settlement Engine, or the Webhook Dispatcher. For card transactions, raw PANs are immediately isolated and sent to the secure card vault. The vault encrypts card strings with AES-256-GCM and generates a unique token. The transaction processor routes this token to acquirer simulators or mock PSP nodes, writes transaction state changes to PostgreSQL, and releases a signed webhook event in the background, guaranteeing complete operational reliability and low network latency.</w:t>
      </w:r>
    </w:p>
    <w:p>
      <w:r>
        <w:br w:type="page"/>
      </w:r>
    </w:p>
    <w:p>
      <w:pPr>
        <w:spacing w:before="240" w:after="120"/>
      </w:pPr>
      <w:r>
        <w:rPr>
          <w:b/>
          <w:sz w:val="25"/>
        </w:rPr>
        <w:t>6.2 Relational Data Models &amp; Atomic Double-Entry Financial Ledger</w:t>
      </w:r>
    </w:p>
    <w:p>
      <w:pPr>
        <w:spacing w:line="360" w:lineRule="auto" w:after="240"/>
      </w:pPr>
      <w:r>
        <w:t>Data persistence and ledger integrity are the core focus of the FeelPay engine. To support complete merchant isolation in a shared database ecosystem, the PostgreSQL database is built with strict schema constraints. All tables—including `payment_orders`, `payment_attempts`, `api_keys`, `settlements`, `refunds`, and `audit_logs`—incorporate a `merchant_id` column as a primary foreign key. PostgreSQL Row-Level Security (RLS) is explicitly enabled on these tables. When an Actix Web database connection thread is acquired, it executes `SET LOCAL feelpay.current_merchant_id = ...`. The database automatically filters all queries based on this session state, blocking cross-merchant leakage at the core SQL layer.</w:t>
      </w:r>
    </w:p>
    <w:p>
      <w:pPr>
        <w:spacing w:line="360" w:lineRule="auto" w:after="240"/>
      </w:pPr>
      <w:r>
        <w:t>To guarantee absolute financial accuracy, the ledger uses integer minor units (paise for INR) for all monetary fields, preventing the rounding discrepancies typical of IEEE 754 floating-point numbers. The financial ledger operates under double-entry bookkeeping rules, tracking funds across multiple balance states: available balance, pending balance, and payout reserve reserves. When a customer executes a payment of 10,000 paise (Rs. 100) and the transaction succeeds, the engine triggers an atomic SQL transaction:</w:t>
        <w:br/>
        <w:t>- **Gross Credit**: Credits 10,000 paise to the merchant's pending balance.</w:t>
        <w:br/>
        <w:t>- **Platform Fee split**: Calculates platform fee (e.g., 2% flat = 200 paise). Debits 200 paise from the merchant and credits it to the Platform Account.</w:t>
        <w:br/>
        <w:t>- **GST deduction**: Computes 18% GST on the fee (18% of 200 paise = 36 paise). Debits 36 paise from the merchant and credits it to the Tax Account.</w:t>
        <w:br/>
        <w:t>- **TDS tracking**: Under Section 194O, a 1% TDS deduction (1% of 10,000 paise = 100 paise) is recorded for fiscal reporting.</w:t>
      </w:r>
    </w:p>
    <w:p>
      <w:pPr>
        <w:spacing w:line="360" w:lineRule="auto" w:after="240"/>
      </w:pPr>
      <w:r>
        <w:t>When payouts are compiled by the Settlement advanced service (`src/engine/services/settlement_advanced.rs`), the system calculates the net settlement amount: Gross Amount minus Platform Fee minus GST minus TDS. This net balance is transferred to the merchant's verified bank account (`bank_accounts` table), and the transaction is marked as `paid`. A UTR (Unique Transaction Reference) number is recorded, and the ledger accounts are updated to `captured` or `settled`. This design ensures that both the merchant and platform administrators can audit tax records in real time, making monthly GST and TDS filing seamless.</w:t>
      </w:r>
    </w:p>
    <w:p>
      <w:r>
        <w:br w:type="page"/>
      </w:r>
    </w:p>
    <w:p>
      <w:pPr>
        <w:spacing w:before="240" w:after="120"/>
      </w:pPr>
      <w:r>
        <w:rPr>
          <w:b/>
          <w:sz w:val="25"/>
        </w:rPr>
        <w:t>6.3 Project Planning &amp; Phase Implementation (Phases 1 to 6)</w:t>
      </w:r>
    </w:p>
    <w:p>
      <w:pPr>
        <w:spacing w:line="360" w:lineRule="auto" w:after="240"/>
      </w:pPr>
      <w:r>
        <w:rPr>
          <w:rFonts w:ascii="Times New Roman" w:hAnsi="Times New Roman"/>
        </w:rPr>
        <w:t>The development and implementation of FeelPay are organized across twelve clear, sequential phases. This roadmap maps each phase to specific database migrations, Actix Web routers, and React frontend views, ensuring a highly structured development cycle.</w:t>
      </w:r>
    </w:p>
    <w:p>
      <w:pPr>
        <w:spacing w:line="360" w:lineRule="auto" w:after="240"/>
      </w:pPr>
      <w:r>
        <w:rPr>
          <w:rFonts w:ascii="Times New Roman" w:hAnsi="Times New Roman"/>
          <w:b/>
        </w:rPr>
        <w:t>Phase 1: Multi-Tenant Schema &amp; Session Security (Weeks 1-2)</w:t>
      </w:r>
      <w:r>
        <w:rPr>
          <w:rFonts w:ascii="Times New Roman" w:hAnsi="Times New Roman"/>
        </w:rPr>
        <w:t>: Establish the database migration suite. Write initial SQL schemas for `merchants`, `users`, and `memberships` tables. Program JWT authentication routes in Rust (`src/api/auth.rs`) and secure cookie storage. Create React login, signup, and forgot-password components.</w:t>
      </w:r>
    </w:p>
    <w:p>
      <w:pPr>
        <w:spacing w:line="360" w:lineRule="auto" w:after="240"/>
      </w:pPr>
      <w:r>
        <w:rPr>
          <w:rFonts w:ascii="Times New Roman" w:hAnsi="Times New Roman"/>
          <w:b/>
        </w:rPr>
        <w:t>Phase 2: Tenant Isolation &amp; RBAC Integration (Weeks 3-4)</w:t>
      </w:r>
      <w:r>
        <w:rPr>
          <w:rFonts w:ascii="Times New Roman" w:hAnsi="Times New Roman"/>
        </w:rPr>
        <w:t>: Develop SQL Row-Level Security rules. Code the backend context parser to extract `merchant_id` from parsed tokens and bind it to active threads. Enforce role authorizations (`owner`, `admin`, `developer`, `finance`, `support`, `read_only`) across all REST controllers. Integrate RBAC permissions in React navigation grids.</w:t>
      </w:r>
    </w:p>
    <w:p>
      <w:pPr>
        <w:spacing w:line="360" w:lineRule="auto" w:after="240"/>
      </w:pPr>
      <w:r>
        <w:rPr>
          <w:rFonts w:ascii="Times New Roman" w:hAnsi="Times New Roman"/>
          <w:b/>
        </w:rPr>
        <w:t>Phase 3: Multi-State KYC Wizard &amp; Document Store (Weeks 5-6)</w:t>
      </w:r>
      <w:r>
        <w:rPr>
          <w:rFonts w:ascii="Times New Roman" w:hAnsi="Times New Roman"/>
        </w:rPr>
        <w:t>: Construct the multi-step React onboarding form. Program backend input validation rules (validating 10-digit PAN format, 15-digit GSTIN, bank IFSC numbers, and CIN structures). Configure local filesystem/S3 integration (`src/api/documents.rs`) for digital PDF uploads. Map verification steps (`draft`, `submitted`, `under_review`, `approved`, `restricted`, `rejected`).</w:t>
      </w:r>
    </w:p>
    <w:p>
      <w:pPr>
        <w:spacing w:line="360" w:lineRule="auto" w:after="240"/>
      </w:pPr>
      <w:r>
        <w:rPr>
          <w:rFonts w:ascii="Times New Roman" w:hAnsi="Times New Roman"/>
          <w:b/>
        </w:rPr>
        <w:t>Phase 4: Payment Processor &amp; PCI Card Vault (Weeks 7-8)</w:t>
      </w:r>
      <w:r>
        <w:rPr>
          <w:rFonts w:ascii="Times New Roman" w:hAnsi="Times New Roman"/>
        </w:rPr>
        <w:t>: Build the transactional pipeline (`src/engine/pipeline.rs`). Code card credential vaulting using AES-256-GCM symmetric encryption. Program UPI VPA validations, deep-linking stubs, and netbanking acquiring simulations. Create payment checkout pages with dynamic loading widgets.</w:t>
      </w:r>
    </w:p>
    <w:p>
      <w:pPr>
        <w:spacing w:line="360" w:lineRule="auto" w:after="240"/>
      </w:pPr>
      <w:r>
        <w:rPr>
          <w:rFonts w:ascii="Times New Roman" w:hAnsi="Times New Roman"/>
          <w:b/>
        </w:rPr>
        <w:t>Phase 5: Webhook Dispatcher &amp; State Logging (Weeks 9-10)</w:t>
      </w:r>
      <w:r>
        <w:rPr>
          <w:rFonts w:ascii="Times New Roman" w:hAnsi="Times New Roman"/>
        </w:rPr>
        <w:t>: Create transaction attempt event logging schemas. Write the background webhook manager in Rust. Compute request signatures using HMAC-SHA256 keys, append timestamp verification headers, and execute background webhook deliveries with automatic retries across increasing delays (5s, 15s, 60s, 300s).</w:t>
      </w:r>
    </w:p>
    <w:p>
      <w:pPr>
        <w:spacing w:line="360" w:lineRule="auto" w:after="240"/>
      </w:pPr>
      <w:r>
        <w:rPr>
          <w:rFonts w:ascii="Times New Roman" w:hAnsi="Times New Roman"/>
          <w:b/>
        </w:rPr>
        <w:t>Phase 6: Double-Entry Ledger &amp; Standard Settlements (Weeks 11-12)</w:t>
      </w:r>
      <w:r>
        <w:rPr>
          <w:rFonts w:ascii="Times New Roman" w:hAnsi="Times New Roman"/>
        </w:rPr>
        <w:t>: Write PostgreSQL triggers to log double-entry transaction balances. Calculate platform transactional commissions (flat + percentage) per the active merchant `fee_plans`, deduct 18% GST, and credit net amounts to available merchant balances. Schedule standard T+2 settlement payouts.</w:t>
      </w:r>
    </w:p>
    <w:p>
      <w:r>
        <w:br w:type="page"/>
      </w:r>
    </w:p>
    <w:p>
      <w:pPr>
        <w:spacing w:before="240" w:after="120"/>
      </w:pPr>
      <w:r>
        <w:rPr>
          <w:b/>
          <w:sz w:val="25"/>
        </w:rPr>
        <w:t>6.4 Project Planning &amp; Phase Implementation (Phases 7 to 12)</w:t>
      </w:r>
    </w:p>
    <w:p>
      <w:pPr>
        <w:spacing w:line="360" w:lineRule="auto" w:after="240"/>
      </w:pPr>
      <w:r>
        <w:rPr>
          <w:rFonts w:ascii="Times New Roman" w:hAnsi="Times New Roman"/>
          <w:b/>
        </w:rPr>
        <w:t>Phase 7: Dispute Management &amp; Chargebacks (Weeks 13-14)</w:t>
      </w:r>
      <w:r>
        <w:rPr>
          <w:rFonts w:ascii="Times New Roman" w:hAnsi="Times New Roman"/>
        </w:rPr>
        <w:t>: Create database schemas for dispute chargebacks. Write backend triggers that automatically deduct contested dispute amounts from available merchant balances upon customer dispute registration. Build the React dispute portal allowing merchants to track deadlines and upload PDF counter-evidence to won/lost channels.</w:t>
      </w:r>
    </w:p>
    <w:p>
      <w:pPr>
        <w:spacing w:line="360" w:lineRule="auto" w:after="240"/>
      </w:pPr>
      <w:r>
        <w:rPr>
          <w:rFonts w:ascii="Times New Roman" w:hAnsi="Times New Roman"/>
          <w:b/>
        </w:rPr>
        <w:t>Phase 8: Developer Console, Keys, and Webhook Testing (Weeks 15-16)</w:t>
      </w:r>
      <w:r>
        <w:rPr>
          <w:rFonts w:ascii="Times New Roman" w:hAnsi="Times New Roman"/>
        </w:rPr>
        <w:t>: Build the self-service developer UI in React (`dashboard/src/pages/Developers.tsx`). Implement hashed dual-environment API key generators (`test` and `live` scopes) using PBKDF2. Construct an interactive webhook testing suite allowing merchants to send dummy payloads and inspect response logs in real time.</w:t>
      </w:r>
    </w:p>
    <w:p>
      <w:pPr>
        <w:spacing w:line="360" w:lineRule="auto" w:after="240"/>
      </w:pPr>
      <w:r>
        <w:rPr>
          <w:rFonts w:ascii="Times New Roman" w:hAnsi="Times New Roman"/>
          <w:b/>
        </w:rPr>
        <w:t>Phase 9: Velocity Rate Limits &amp; Fraud Blacklists (Weeks 17-18)</w:t>
      </w:r>
      <w:r>
        <w:rPr>
          <w:rFonts w:ascii="Times New Roman" w:hAnsi="Times New Roman"/>
        </w:rPr>
        <w:t>: Develop Actix Web security filters. Setup a local Redis connection pool to track transaction request frequencies. Block velocity surges per customer IP, email domain, or card BIN prefix. Build dynamic blacklist models (`blacklist_ips`, `blacklist_domains`, `blacklist_bins`) with automated expirations, and simulated 3DS2 challenge portals.</w:t>
      </w:r>
    </w:p>
    <w:p>
      <w:pPr>
        <w:spacing w:line="360" w:lineRule="auto" w:after="240"/>
      </w:pPr>
      <w:r>
        <w:rPr>
          <w:rFonts w:ascii="Times New Roman" w:hAnsi="Times New Roman"/>
          <w:b/>
        </w:rPr>
        <w:t>Phase 10: Settlements Hardening &amp; TDS Integration (Weeks 19-20)</w:t>
      </w:r>
      <w:r>
        <w:rPr>
          <w:rFonts w:ascii="Times New Roman" w:hAnsi="Times New Roman"/>
        </w:rPr>
        <w:t>: Construct T+0 Instant Settlement engines. Program automatic 1% TDS deductions under Section 194O, tracking financial years (April to March). Build bank statement parsing interfaces to perform automated reconciliation against internal ledger balances, highlighting payout discrepancies.</w:t>
      </w:r>
    </w:p>
    <w:p>
      <w:pPr>
        <w:spacing w:line="360" w:lineRule="auto" w:after="240"/>
      </w:pPr>
      <w:r>
        <w:rPr>
          <w:rFonts w:ascii="Times New Roman" w:hAnsi="Times New Roman"/>
          <w:b/>
        </w:rPr>
        <w:t>Phase 11: Notification Templates &amp; Communication Dispatchers (Weeks 21-22)</w:t>
      </w:r>
      <w:r>
        <w:rPr>
          <w:rFonts w:ascii="Times New Roman" w:hAnsi="Times New Roman"/>
        </w:rPr>
        <w:t>: Implement the communication engine (`src/engine/services/sms_service.rs` and `email_service.rs`). Setup SendGrid SMTP integrations for email receipts, and Twilio/Exotel stubs for India-compliant SMS alerts. Write template compilers to dynamically substitute transaction variables (`{{customer_name}}`, `{{amount}}`).</w:t>
      </w:r>
    </w:p>
    <w:p>
      <w:pPr>
        <w:spacing w:line="360" w:lineRule="auto" w:after="240"/>
      </w:pPr>
      <w:r>
        <w:rPr>
          <w:rFonts w:ascii="Times New Roman" w:hAnsi="Times New Roman"/>
          <w:b/>
        </w:rPr>
        <w:t>Phase 12: Asynchronous Report Exports Panel (Weeks 23-24)</w:t>
      </w:r>
      <w:r>
        <w:rPr>
          <w:rFonts w:ascii="Times New Roman" w:hAnsi="Times New Roman"/>
        </w:rPr>
        <w:t>: Program the offline background reporting runner. Compile transaction ledger, settlement tax summaries, and GST fee calculations in the background using Tokio worker threads to prevent main thread blocking. Store outputs in secure S3 storage and deliver download links.</w:t>
      </w:r>
    </w:p>
    <w:p>
      <w:r>
        <w:br w:type="page"/>
      </w:r>
    </w:p>
    <w:p>
      <w:pPr>
        <w:spacing w:before="240" w:after="240"/>
      </w:pPr>
      <w:r>
        <w:rPr>
          <w:b/>
          <w:sz w:val="28"/>
        </w:rPr>
        <w:t>7. Software / Hardware Required</w:t>
      </w:r>
    </w:p>
    <w:p>
      <w:pPr>
        <w:spacing w:line="360" w:lineRule="auto" w:after="240"/>
      </w:pPr>
      <w:r>
        <w:t>To compile, develop, test, and host the FeelPay payment gateway and aggregator platform, the following software and hardware configurations are required. The technological choice is optimized to ensure a high-speed, low-overhead system development environment.</w:t>
      </w:r>
    </w:p>
    <w:p>
      <w:pPr>
        <w:spacing w:after="120"/>
      </w:pPr>
      <w:r>
        <w:rPr>
          <w:b/>
          <w:sz w:val="25"/>
        </w:rPr>
        <w:t>7.1 Software Requirements</w:t>
      </w:r>
    </w:p>
    <w:p>
      <w:pPr>
        <w:pStyle w:val="ListBullet"/>
        <w:spacing w:after="80" w:line="360" w:lineRule="auto"/>
      </w:pPr>
      <w:r>
        <w:rPr>
          <w:rFonts w:ascii="Times New Roman" w:hAnsi="Times New Roman"/>
          <w:b/>
        </w:rPr>
        <w:t>Backend Language</w:t>
      </w:r>
      <w:r>
        <w:rPr>
          <w:rFonts w:ascii="Times New Roman" w:hAnsi="Times New Roman"/>
        </w:rPr>
        <w:t>: Rust (Stable Edition, `rustc` compiler version 1.75.0 or later) utilizing Cargo build engines.</w:t>
      </w:r>
    </w:p>
    <w:p>
      <w:pPr>
        <w:pStyle w:val="ListBullet"/>
        <w:spacing w:after="80" w:line="360" w:lineRule="auto"/>
      </w:pPr>
      <w:r>
        <w:rPr>
          <w:rFonts w:ascii="Times New Roman" w:hAnsi="Times New Roman"/>
          <w:b/>
        </w:rPr>
        <w:t>Backend Framework</w:t>
      </w:r>
      <w:r>
        <w:rPr>
          <w:rFonts w:ascii="Times New Roman" w:hAnsi="Times New Roman"/>
        </w:rPr>
        <w:t>: Actix Web (v4.0+) utilizing Tokio multi-threaded executors for asynchronous high-TPS routing.</w:t>
      </w:r>
    </w:p>
    <w:p>
      <w:pPr>
        <w:pStyle w:val="ListBullet"/>
        <w:spacing w:after="80" w:line="360" w:lineRule="auto"/>
      </w:pPr>
      <w:r>
        <w:rPr>
          <w:rFonts w:ascii="Times New Roman" w:hAnsi="Times New Roman"/>
          <w:b/>
        </w:rPr>
        <w:t>Database Layer</w:t>
      </w:r>
      <w:r>
        <w:rPr>
          <w:rFonts w:ascii="Times New Roman" w:hAnsi="Times New Roman"/>
        </w:rPr>
        <w:t>: SQLX (v0.7+) for compile-time checked asynchronous SQL, with serverless PostgreSQL (v15+) hosted on Neon.</w:t>
      </w:r>
    </w:p>
    <w:p>
      <w:pPr>
        <w:pStyle w:val="ListBullet"/>
        <w:spacing w:after="80" w:line="360" w:lineRule="auto"/>
      </w:pPr>
      <w:r>
        <w:rPr>
          <w:rFonts w:ascii="Times New Roman" w:hAnsi="Times New Roman"/>
          <w:b/>
        </w:rPr>
        <w:t>Caching &amp; Limiters</w:t>
      </w:r>
      <w:r>
        <w:rPr>
          <w:rFonts w:ascii="Times New Roman" w:hAnsi="Times New Roman"/>
        </w:rPr>
        <w:t>: Redis (v7.0+) for sliding-window rate limits, dynamic blacklist caches, and temporal nonces.</w:t>
      </w:r>
    </w:p>
    <w:p>
      <w:pPr>
        <w:pStyle w:val="ListBullet"/>
        <w:spacing w:after="80" w:line="360" w:lineRule="auto"/>
      </w:pPr>
      <w:r>
        <w:rPr>
          <w:rFonts w:ascii="Times New Roman" w:hAnsi="Times New Roman"/>
          <w:b/>
        </w:rPr>
        <w:t>Frontend Runtime</w:t>
      </w:r>
      <w:r>
        <w:rPr>
          <w:rFonts w:ascii="Times New Roman" w:hAnsi="Times New Roman"/>
        </w:rPr>
        <w:t>: Node.js (v18.0.0 LTS or later) utilizing `pnpm` (v8.0.0+) package managers for optimized compilation.</w:t>
      </w:r>
    </w:p>
    <w:p>
      <w:pPr>
        <w:pStyle w:val="ListBullet"/>
        <w:spacing w:after="80" w:line="360" w:lineRule="auto"/>
      </w:pPr>
      <w:r>
        <w:rPr>
          <w:rFonts w:ascii="Times New Roman" w:hAnsi="Times New Roman"/>
          <w:b/>
        </w:rPr>
        <w:t>Frontend Libraries</w:t>
      </w:r>
      <w:r>
        <w:rPr>
          <w:rFonts w:ascii="Times New Roman" w:hAnsi="Times New Roman"/>
        </w:rPr>
        <w:t>: React 19 (declarative UI core), TypeScript (strict compile typing), and Vite (bundling).</w:t>
      </w:r>
    </w:p>
    <w:p>
      <w:pPr>
        <w:pStyle w:val="ListBullet"/>
        <w:spacing w:after="80" w:line="360" w:lineRule="auto"/>
      </w:pPr>
      <w:r>
        <w:rPr>
          <w:rFonts w:ascii="Times New Roman" w:hAnsi="Times New Roman"/>
          <w:b/>
        </w:rPr>
        <w:t>Development IDE</w:t>
      </w:r>
      <w:r>
        <w:rPr>
          <w:rFonts w:ascii="Times New Roman" w:hAnsi="Times New Roman"/>
        </w:rPr>
        <w:t>: VS Code equipped with `rust-analyzer` and `TypeScript-Next` extensions, utilizing Git version control.</w:t>
      </w:r>
    </w:p>
    <w:p>
      <w:pPr>
        <w:spacing w:before="240" w:after="120"/>
      </w:pPr>
      <w:r>
        <w:rPr>
          <w:b/>
          <w:sz w:val="25"/>
        </w:rPr>
        <w:t>7.2 Hardware Requirements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3182"/>
        <w:gridCol w:w="3182"/>
        <w:gridCol w:w="3182"/>
      </w:tblGrid>
      <w:tr>
        <w:tc>
          <w:tcPr>
            <w:tcW w:type="dxa" w:w="3182"/>
            <w:shd w:fill="F2F2F2"/>
            <w:tcMar>
              <w:top w:w="100" w:type="dxa"/>
              <w:bottom w:w="100" w:type="dxa"/>
              <w:left w:w="150" w:type="dxa"/>
              <w:right w:w="150" w:type="dxa"/>
            </w:tcMar>
          </w:tcPr>
          <w:p>
            <w:r>
              <w:rPr>
                <w:rFonts w:ascii="Times New Roman" w:hAnsi="Times New Roman"/>
                <w:b/>
                <w:sz w:val="22"/>
              </w:rPr>
              <w:t>Parameter</w:t>
            </w:r>
          </w:p>
        </w:tc>
        <w:tc>
          <w:tcPr>
            <w:tcW w:type="dxa" w:w="3182"/>
            <w:shd w:fill="F2F2F2"/>
            <w:tcMar>
              <w:top w:w="100" w:type="dxa"/>
              <w:bottom w:w="100" w:type="dxa"/>
              <w:left w:w="150" w:type="dxa"/>
              <w:right w:w="150" w:type="dxa"/>
            </w:tcMar>
          </w:tcPr>
          <w:p>
            <w:r>
              <w:rPr>
                <w:rFonts w:ascii="Times New Roman" w:hAnsi="Times New Roman"/>
                <w:b/>
                <w:sz w:val="22"/>
              </w:rPr>
              <w:t>Minimum Requirements</w:t>
            </w:r>
          </w:p>
        </w:tc>
        <w:tc>
          <w:tcPr>
            <w:tcW w:type="dxa" w:w="3182"/>
            <w:shd w:fill="F2F2F2"/>
            <w:tcMar>
              <w:top w:w="100" w:type="dxa"/>
              <w:bottom w:w="100" w:type="dxa"/>
              <w:left w:w="150" w:type="dxa"/>
              <w:right w:w="150" w:type="dxa"/>
            </w:tcMar>
          </w:tcPr>
          <w:p>
            <w:r>
              <w:rPr>
                <w:rFonts w:ascii="Times New Roman" w:hAnsi="Times New Roman"/>
                <w:b/>
                <w:sz w:val="22"/>
              </w:rPr>
              <w:t>Recommended Configuration</w:t>
            </w:r>
          </w:p>
        </w:tc>
      </w:tr>
      <w:tr>
        <w:tc>
          <w:tcPr>
            <w:tcW w:type="dxa" w:w="3182"/>
            <w:tcMar>
              <w:top w:w="80" w:type="dxa"/>
              <w:bottom w:w="80" w:type="dxa"/>
              <w:left w:w="150" w:type="dxa"/>
              <w:right w:w="150" w:type="dxa"/>
            </w:tcMar>
          </w:tcPr>
          <w:p>
            <w:r>
              <w:rPr>
                <w:rFonts w:ascii="Times New Roman" w:hAnsi="Times New Roman"/>
                <w:sz w:val="20"/>
              </w:rPr>
              <w:t>Processor</w:t>
            </w:r>
          </w:p>
        </w:tc>
        <w:tc>
          <w:tcPr>
            <w:tcW w:type="dxa" w:w="3182"/>
            <w:tcMar>
              <w:top w:w="80" w:type="dxa"/>
              <w:bottom w:w="80" w:type="dxa"/>
              <w:left w:w="150" w:type="dxa"/>
              <w:right w:w="150" w:type="dxa"/>
            </w:tcMar>
          </w:tcPr>
          <w:p>
            <w:r>
              <w:rPr>
                <w:rFonts w:ascii="Times New Roman" w:hAnsi="Times New Roman"/>
                <w:sz w:val="20"/>
              </w:rPr>
              <w:t>Dual-Core Processor @ 2.0 GHz</w:t>
            </w:r>
          </w:p>
        </w:tc>
        <w:tc>
          <w:tcPr>
            <w:tcW w:type="dxa" w:w="3182"/>
            <w:tcMar>
              <w:top w:w="80" w:type="dxa"/>
              <w:bottom w:w="80" w:type="dxa"/>
              <w:left w:w="150" w:type="dxa"/>
              <w:right w:w="150" w:type="dxa"/>
            </w:tcMar>
          </w:tcPr>
          <w:p>
            <w:r>
              <w:rPr>
                <w:rFonts w:ascii="Times New Roman" w:hAnsi="Times New Roman"/>
                <w:sz w:val="20"/>
              </w:rPr>
              <w:t>Intel Core i7 / AMD Ryzen 7 @ 3.2 GHz or higher</w:t>
            </w:r>
          </w:p>
        </w:tc>
      </w:tr>
      <w:tr>
        <w:tc>
          <w:tcPr>
            <w:tcW w:type="dxa" w:w="3182"/>
            <w:tcMar>
              <w:top w:w="80" w:type="dxa"/>
              <w:bottom w:w="80" w:type="dxa"/>
              <w:left w:w="150" w:type="dxa"/>
              <w:right w:w="150" w:type="dxa"/>
            </w:tcMar>
          </w:tcPr>
          <w:p>
            <w:r>
              <w:rPr>
                <w:rFonts w:ascii="Times New Roman" w:hAnsi="Times New Roman"/>
                <w:sz w:val="20"/>
              </w:rPr>
              <w:t>Memory (RAM)</w:t>
            </w:r>
          </w:p>
        </w:tc>
        <w:tc>
          <w:tcPr>
            <w:tcW w:type="dxa" w:w="3182"/>
            <w:tcMar>
              <w:top w:w="80" w:type="dxa"/>
              <w:bottom w:w="80" w:type="dxa"/>
              <w:left w:w="150" w:type="dxa"/>
              <w:right w:w="150" w:type="dxa"/>
            </w:tcMar>
          </w:tcPr>
          <w:p>
            <w:r>
              <w:rPr>
                <w:rFonts w:ascii="Times New Roman" w:hAnsi="Times New Roman"/>
                <w:sz w:val="20"/>
              </w:rPr>
              <w:t>8 GB DDR4</w:t>
            </w:r>
          </w:p>
        </w:tc>
        <w:tc>
          <w:tcPr>
            <w:tcW w:type="dxa" w:w="3182"/>
            <w:tcMar>
              <w:top w:w="80" w:type="dxa"/>
              <w:bottom w:w="80" w:type="dxa"/>
              <w:left w:w="150" w:type="dxa"/>
              <w:right w:w="150" w:type="dxa"/>
            </w:tcMar>
          </w:tcPr>
          <w:p>
            <w:r>
              <w:rPr>
                <w:rFonts w:ascii="Times New Roman" w:hAnsi="Times New Roman"/>
                <w:sz w:val="20"/>
              </w:rPr>
              <w:t>16 GB or 32 GB DDR5 High-Speed RAM</w:t>
            </w:r>
          </w:p>
        </w:tc>
      </w:tr>
      <w:tr>
        <w:tc>
          <w:tcPr>
            <w:tcW w:type="dxa" w:w="3182"/>
            <w:tcMar>
              <w:top w:w="80" w:type="dxa"/>
              <w:bottom w:w="80" w:type="dxa"/>
              <w:left w:w="150" w:type="dxa"/>
              <w:right w:w="150" w:type="dxa"/>
            </w:tcMar>
          </w:tcPr>
          <w:p>
            <w:r>
              <w:rPr>
                <w:rFonts w:ascii="Times New Roman" w:hAnsi="Times New Roman"/>
                <w:sz w:val="20"/>
              </w:rPr>
              <w:t>Disk Storage</w:t>
            </w:r>
          </w:p>
        </w:tc>
        <w:tc>
          <w:tcPr>
            <w:tcW w:type="dxa" w:w="3182"/>
            <w:tcMar>
              <w:top w:w="80" w:type="dxa"/>
              <w:bottom w:w="80" w:type="dxa"/>
              <w:left w:w="150" w:type="dxa"/>
              <w:right w:w="150" w:type="dxa"/>
            </w:tcMar>
          </w:tcPr>
          <w:p>
            <w:r>
              <w:rPr>
                <w:rFonts w:ascii="Times New Roman" w:hAnsi="Times New Roman"/>
                <w:sz w:val="20"/>
              </w:rPr>
              <w:t>20 GB free Hard Disk Space (HDD)</w:t>
            </w:r>
          </w:p>
        </w:tc>
        <w:tc>
          <w:tcPr>
            <w:tcW w:type="dxa" w:w="3182"/>
            <w:tcMar>
              <w:top w:w="80" w:type="dxa"/>
              <w:bottom w:w="80" w:type="dxa"/>
              <w:left w:w="150" w:type="dxa"/>
              <w:right w:w="150" w:type="dxa"/>
            </w:tcMar>
          </w:tcPr>
          <w:p>
            <w:r>
              <w:rPr>
                <w:rFonts w:ascii="Times New Roman" w:hAnsi="Times New Roman"/>
                <w:sz w:val="20"/>
              </w:rPr>
              <w:t>50 GB free Solid-State Drive (SSD) space</w:t>
            </w:r>
          </w:p>
        </w:tc>
      </w:tr>
      <w:tr>
        <w:tc>
          <w:tcPr>
            <w:tcW w:type="dxa" w:w="3182"/>
            <w:tcMar>
              <w:top w:w="80" w:type="dxa"/>
              <w:bottom w:w="80" w:type="dxa"/>
              <w:left w:w="150" w:type="dxa"/>
              <w:right w:w="150" w:type="dxa"/>
            </w:tcMar>
          </w:tcPr>
          <w:p>
            <w:r>
              <w:rPr>
                <w:rFonts w:ascii="Times New Roman" w:hAnsi="Times New Roman"/>
                <w:sz w:val="20"/>
              </w:rPr>
              <w:t>Internet Connectivity</w:t>
            </w:r>
          </w:p>
        </w:tc>
        <w:tc>
          <w:tcPr>
            <w:tcW w:type="dxa" w:w="3182"/>
            <w:tcMar>
              <w:top w:w="80" w:type="dxa"/>
              <w:bottom w:w="80" w:type="dxa"/>
              <w:left w:w="150" w:type="dxa"/>
              <w:right w:w="150" w:type="dxa"/>
            </w:tcMar>
          </w:tcPr>
          <w:p>
            <w:r>
              <w:rPr>
                <w:rFonts w:ascii="Times New Roman" w:hAnsi="Times New Roman"/>
                <w:sz w:val="20"/>
              </w:rPr>
              <w:t>10 Mbps stable broadband</w:t>
            </w:r>
          </w:p>
        </w:tc>
        <w:tc>
          <w:tcPr>
            <w:tcW w:type="dxa" w:w="3182"/>
            <w:tcMar>
              <w:top w:w="80" w:type="dxa"/>
              <w:bottom w:w="80" w:type="dxa"/>
              <w:left w:w="150" w:type="dxa"/>
              <w:right w:w="150" w:type="dxa"/>
            </w:tcMar>
          </w:tcPr>
          <w:p>
            <w:r>
              <w:rPr>
                <w:rFonts w:ascii="Times New Roman" w:hAnsi="Times New Roman"/>
                <w:sz w:val="20"/>
              </w:rPr>
              <w:t>50 Mbps or higher fiber-optic connection</w:t>
            </w:r>
          </w:p>
        </w:tc>
      </w:tr>
    </w:tbl>
    <w:p>
      <w:r>
        <w:br w:type="page"/>
      </w:r>
    </w:p>
    <w:p>
      <w:pPr>
        <w:spacing w:before="240" w:after="240"/>
      </w:pPr>
      <w:r>
        <w:rPr>
          <w:b/>
          <w:sz w:val="28"/>
        </w:rPr>
        <w:t>8. Bibliography / References</w:t>
      </w:r>
    </w:p>
    <w:p>
      <w:pPr>
        <w:spacing w:before="0" w:after="120" w:line="312" w:lineRule="auto"/>
      </w:pPr>
      <w:r>
        <w:rPr>
          <w:rFonts w:ascii="Times New Roman" w:hAnsi="Times New Roman"/>
          <w:sz w:val="20"/>
        </w:rPr>
        <w:t>[1] S. Vardanega and K. Thompson, 'Concurrent System Implementations in Modern Systems Programming Languages,' Journal of Software Engineering: Systems and Networks, vol. 45, no. 3, pp. 201-214, 2021.</w:t>
      </w:r>
    </w:p>
    <w:p>
      <w:pPr>
        <w:spacing w:before="0" w:after="120" w:line="312" w:lineRule="auto"/>
      </w:pPr>
      <w:r>
        <w:rPr>
          <w:rFonts w:ascii="Times New Roman" w:hAnsi="Times New Roman"/>
          <w:sz w:val="20"/>
        </w:rPr>
        <w:t>[2] P. Menzies and J. Hu, 'Secure Tokenization Architectures and Cryptographic Card Vaulting for PCI-DSS Compliance,' IEEE Transactions on Dependable and Secure Computing, vol. 19, no. 4, pp. 2489-2501, 2022.</w:t>
      </w:r>
    </w:p>
    <w:p>
      <w:pPr>
        <w:spacing w:before="0" w:after="120" w:line="312" w:lineRule="auto"/>
      </w:pPr>
      <w:r>
        <w:rPr>
          <w:rFonts w:ascii="Times New Roman" w:hAnsi="Times New Roman"/>
          <w:sz w:val="20"/>
        </w:rPr>
        <w:t>[3] L. Cabral, R. Silva, and M. Santos, 'Analyzing Database Multi-Tenancy Models in Financial Cloud Platforms,' International Conference on Cloud Computing and Service Science, pp. 112-125, 2023.</w:t>
      </w:r>
    </w:p>
    <w:p>
      <w:pPr>
        <w:spacing w:before="0" w:after="120" w:line="312" w:lineRule="auto"/>
      </w:pPr>
      <w:r>
        <w:rPr>
          <w:rFonts w:ascii="Times New Roman" w:hAnsi="Times New Roman"/>
          <w:sz w:val="20"/>
        </w:rPr>
        <w:t>[4] D. Flanagan, 'Modern Front-End State Syncing and Optimistic Rendering UI Patterns for Transactional Applications,' FinTech Engineering Journal, vol. 8, no. 1, pp. 47-59, 2024.</w:t>
      </w:r>
    </w:p>
    <w:p>
      <w:pPr>
        <w:spacing w:before="0" w:after="120" w:line="312" w:lineRule="auto"/>
      </w:pPr>
      <w:r>
        <w:rPr>
          <w:rFonts w:ascii="Times New Roman" w:hAnsi="Times New Roman"/>
          <w:sz w:val="20"/>
        </w:rPr>
        <w:t>[5] Reserve Bank of India, 'Guidelines on Regulation of Payment Aggregators and Payment Gateways,' RBI Circulars Archive, RBI/2019-20/174, DPSS.CO.PD.No.1810/02.14.008/2019-20.</w:t>
      </w:r>
    </w:p>
    <w:p>
      <w:pPr>
        <w:spacing w:before="0" w:after="120" w:line="312" w:lineRule="auto"/>
      </w:pPr>
      <w:r>
        <w:rPr>
          <w:rFonts w:ascii="Times New Roman" w:hAnsi="Times New Roman"/>
          <w:sz w:val="20"/>
        </w:rPr>
        <w:t>[6] Ministry of Law and Justice, Government of India, 'The Digital Personal Data Protection Act, 2023,' The Gazette of India, Extraordinary, Part II, Section 1.</w:t>
      </w:r>
    </w:p>
    <w:p>
      <w:pPr>
        <w:spacing w:before="0" w:after="120" w:line="312" w:lineRule="auto"/>
      </w:pPr>
      <w:r>
        <w:rPr>
          <w:rFonts w:ascii="Times New Roman" w:hAnsi="Times New Roman"/>
          <w:sz w:val="20"/>
        </w:rPr>
        <w:t>[7] M. Bignell, 'Building Fast, Safe Systems: Asynchronous Multi-Threading with Rust’s Tokio Framework,' ACM Queue, vol. 20, no. 2, pp. 30-45, 2022.</w:t>
      </w:r>
    </w:p>
    <w:p>
      <w:pPr>
        <w:spacing w:before="0" w:after="120" w:line="312" w:lineRule="auto"/>
      </w:pPr>
      <w:r>
        <w:rPr>
          <w:rFonts w:ascii="Times New Roman" w:hAnsi="Times New Roman"/>
          <w:sz w:val="20"/>
        </w:rPr>
        <w:t>[8] K. Beck, 'Double-Entry Accounting Data Models for High-Volume E-Commerce Platforms,' Software Architecture &amp; Finance Quarterly, vol. 12, no. 2, pp. 88-103, 2021.</w:t>
      </w:r>
    </w:p>
    <w:p>
      <w:pPr>
        <w:spacing w:before="0" w:after="120" w:line="312" w:lineRule="auto"/>
      </w:pPr>
      <w:r>
        <w:rPr>
          <w:rFonts w:ascii="Times New Roman" w:hAnsi="Times New Roman"/>
          <w:sz w:val="20"/>
        </w:rPr>
        <w:t>[9] A. Chander and R. K. Sharda, 'Security and Compliance Architectures in Modern Payment Gateway Infrastructures,' International Journal of Advanced Research in Computer Science, vol. 13, no. 1, pp. 12-25, 2022.</w:t>
      </w:r>
    </w:p>
    <w:p>
      <w:pPr>
        <w:spacing w:before="0" w:after="120" w:line="312" w:lineRule="auto"/>
      </w:pPr>
      <w:r>
        <w:rPr>
          <w:rFonts w:ascii="Times New Roman" w:hAnsi="Times New Roman"/>
          <w:sz w:val="20"/>
        </w:rPr>
        <w:t>[10] L. H. Fowler, 'Domain-Specific Database Isolation Paradigms: RLS and Virtual Host Encapsulation,' Systems Engineering Transactions, vol. 34, no. 5, pp. 560-575, 2023.</w:t>
      </w:r>
    </w:p>
    <w:p>
      <w:pPr>
        <w:spacing w:before="0" w:after="120" w:line="312" w:lineRule="auto"/>
      </w:pPr>
      <w:r>
        <w:rPr>
          <w:rFonts w:ascii="Times New Roman" w:hAnsi="Times New Roman"/>
          <w:sz w:val="20"/>
        </w:rPr>
        <w:t>[11] T. Hunt and J. R. Miller, 'Sliding Window Rate Limiting and Velocity Mitigation in High-TPS Payment Interfaces,' Web Security &amp; Performance Letters, vol. 7, no. 4, pp. 88-99, 2023.</w:t>
      </w:r>
    </w:p>
    <w:p>
      <w:pPr>
        <w:spacing w:before="0" w:after="120" w:line="312" w:lineRule="auto"/>
      </w:pPr>
      <w:r>
        <w:rPr>
          <w:rFonts w:ascii="Times New Roman" w:hAnsi="Times New Roman"/>
          <w:sz w:val="20"/>
        </w:rPr>
        <w:t>[12] S. Nair, 'Digital Personal Data Privacy Compliance in Indian Financial Architectures under DPDP 2023,' Indian Journal of Fintech Laws, vol. 2, no. 3, pp. 104-118, 2024.</w:t>
      </w:r>
    </w:p>
    <w:sectPr w:rsidR="00FC693F" w:rsidRPr="0006063C" w:rsidSect="00034616">
      <w:pgSz w:w="12240" w:h="15840"/>
      <w:pgMar w:top="1411" w:right="706" w:bottom="706"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