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bCs/>
          <w:color w:val="1F3864"/>
          <w:sz w:val="30"/>
          <w:szCs w:val="30"/>
        </w:rPr>
        <w:t xml:space="preserve">CONTOSO TRADING SERVICES</w:t>
      </w:r>
    </w:p>
    <w:p>
      <w:pPr>
        <w:pStyle w:val="Heading1"/>
        <w:spacing w:after="160"/>
      </w:pPr>
      <w:r>
        <w:rPr>
          <w:b/>
          <w:bCs/>
          <w:color w:val="1F3864"/>
          <w:sz w:val="30"/>
          <w:szCs w:val="30"/>
        </w:rPr>
        <w:t xml:space="preserve">Product Warranty Terms</w:t>
      </w:r>
    </w:p>
    <w:p>
      <w:pPr>
        <w:spacing w:after="20"/>
      </w:pPr>
      <w:r>
        <w:rPr>
          <w:color w:val="444444"/>
          <w:sz w:val="18"/>
          <w:szCs w:val="18"/>
        </w:rPr>
        <w:t xml:space="preserve">Document Reference: CTS-POL-007</w:t>
      </w:r>
    </w:p>
    <w:p>
      <w:pPr>
        <w:spacing w:after="20"/>
      </w:pPr>
      <w:r>
        <w:rPr>
          <w:color w:val="444444"/>
          <w:sz w:val="18"/>
          <w:szCs w:val="18"/>
        </w:rPr>
        <w:t xml:space="preserve">Version: 2.4</w:t>
      </w:r>
    </w:p>
    <w:p>
      <w:pPr>
        <w:spacing w:after="20"/>
      </w:pPr>
      <w:r>
        <w:rPr>
          <w:color w:val="444444"/>
          <w:sz w:val="18"/>
          <w:szCs w:val="18"/>
        </w:rPr>
        <w:t xml:space="preserve">Effective Date: 01 January 2026</w:t>
      </w:r>
    </w:p>
    <w:p>
      <w:pPr>
        <w:spacing w:after="20"/>
      </w:pPr>
      <w:r>
        <w:rPr>
          <w:color w:val="444444"/>
          <w:sz w:val="18"/>
          <w:szCs w:val="18"/>
        </w:rPr>
        <w:t xml:space="preserve">Review Date: 31 December 2026</w:t>
      </w:r>
    </w:p>
    <w:p>
      <w:pPr>
        <w:spacing w:after="20"/>
      </w:pPr>
      <w:r>
        <w:rPr>
          <w:color w:val="444444"/>
          <w:sz w:val="18"/>
          <w:szCs w:val="18"/>
        </w:rPr>
        <w:t xml:space="preserve">Owner: Customer Operations</w:t>
      </w:r>
    </w:p>
    <w:p>
      <w:pPr>
        <w:spacing w:after="240"/>
      </w:pPr>
      <w:r>
        <w:rPr>
          <w:color w:val="444444"/>
          <w:sz w:val="18"/>
          <w:szCs w:val="18"/>
        </w:rPr>
        <w:t xml:space="preserve">Approved By: Margaret Hale, VP Sales</w:t>
      </w:r>
    </w:p>
    <w:p>
      <w:pPr>
        <w:pStyle w:val="Heading2"/>
        <w:spacing w:after="120" w:before="260"/>
      </w:pPr>
      <w:r>
        <w:rPr>
          <w:b/>
          <w:bCs/>
          <w:color w:val="2E5C9A"/>
          <w:sz w:val="24"/>
          <w:szCs w:val="24"/>
        </w:rPr>
        <w:t xml:space="preserve">1. Scope</w:t>
      </w:r>
    </w:p>
    <w:p>
      <w:pPr>
        <w:spacing w:after="120"/>
      </w:pPr>
      <w:r>
        <w:rPr>
          <w:sz w:val="21"/>
          <w:szCs w:val="21"/>
        </w:rPr>
        <w:t xml:space="preserve">These terms set out the warranty provided by Contoso Trading Services on products sold to business customers. Warranty cover begins on the date the goods are delivered, not the date the order is placed, and runs for the period shown in section 2 for the relevant product category.</w:t>
      </w:r>
    </w:p>
    <w:p>
      <w:pPr>
        <w:spacing w:after="120"/>
      </w:pPr>
      <w:r>
        <w:rPr>
          <w:sz w:val="21"/>
          <w:szCs w:val="21"/>
        </w:rPr>
        <w:t xml:space="preserve">Commercial returns within the first 30 days are dealt with under document CTS-POL-004, Returns and Refunds Policy. This document applies once that return window has closed.</w:t>
      </w:r>
    </w:p>
    <w:p>
      <w:pPr>
        <w:pStyle w:val="Heading2"/>
        <w:spacing w:after="120" w:before="260"/>
      </w:pPr>
      <w:r>
        <w:rPr>
          <w:b/>
          <w:bCs/>
          <w:color w:val="2E5C9A"/>
          <w:sz w:val="24"/>
          <w:szCs w:val="24"/>
        </w:rPr>
        <w:t xml:space="preserve">2. Standard Warranty Period by Category</w:t>
      </w:r>
    </w:p>
    <w:p>
      <w:pPr>
        <w:spacing w:after="120"/>
      </w:pPr>
      <w:r>
        <w:rPr>
          <w:sz w:val="21"/>
          <w:szCs w:val="21"/>
        </w:rPr>
        <w:t xml:space="preserve">The standard warranty period is determined by the product category. Individual products do not carry separate warranty periods.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00"/>
      </w:tblGrid>
      <w:tr>
        <w:trPr>
          <w:tblHeader/>
        </w:trPr>
        <w:tc>
          <w:tcPr>
            <w:tcW w:type="dxa" w:w="1900"/>
            <w:shd w:fill="1F3864" w:color="auto" w:val="clear"/>
            <w:tcMar>
              <w:top w:type="dxa" w:w="60"/>
              <w:left w:type="dxa" w:w="90"/>
              <w:bottom w:type="dxa" w:w="60"/>
              <w:right w:type="dxa" w:w="90"/>
            </w:tcMar>
          </w:tcPr>
          <w:p>
            <w:r>
              <w:rPr>
                <w:b/>
                <w:bCs/>
                <w:color w:val="FFFFFF"/>
                <w:sz w:val="19"/>
                <w:szCs w:val="19"/>
              </w:rPr>
              <w:t xml:space="preserve">Category</w:t>
            </w:r>
          </w:p>
        </w:tc>
        <w:tc>
          <w:tcPr>
            <w:tcW w:type="dxa" w:w="1500"/>
            <w:shd w:fill="1F3864" w:color="auto" w:val="clear"/>
            <w:tcMar>
              <w:top w:type="dxa" w:w="60"/>
              <w:left w:type="dxa" w:w="90"/>
              <w:bottom w:type="dxa" w:w="60"/>
              <w:right w:type="dxa" w:w="90"/>
            </w:tcMar>
          </w:tcPr>
          <w:p>
            <w:r>
              <w:rPr>
                <w:b/>
                <w:bCs/>
                <w:color w:val="FFFFFF"/>
                <w:sz w:val="19"/>
                <w:szCs w:val="19"/>
              </w:rPr>
              <w:t xml:space="preserve">Warranty</w:t>
            </w:r>
          </w:p>
        </w:tc>
        <w:tc>
          <w:tcPr>
            <w:tcW w:type="dxa" w:w="5600"/>
            <w:shd w:fill="1F3864" w:color="auto" w:val="clear"/>
            <w:tcMar>
              <w:top w:type="dxa" w:w="60"/>
              <w:left w:type="dxa" w:w="90"/>
              <w:bottom w:type="dxa" w:w="60"/>
              <w:right w:type="dxa" w:w="90"/>
            </w:tcMar>
          </w:tcPr>
          <w:p>
            <w:r>
              <w:rPr>
                <w:b/>
                <w:bCs/>
                <w:color w:val="FFFFFF"/>
                <w:sz w:val="19"/>
                <w:szCs w:val="19"/>
              </w:rPr>
              <w:t xml:space="preserve">Notes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Electronics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24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Covers monitors, projectors, displays, video bars and webcams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Office Furniture</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60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Structural frame only. Upholstery and gas lifts carry 24 months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Computer Accessories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12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Batteries in wireless accessories carry 6 months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Networking</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24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Extendable to 60 months under the advance replacement plan</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Printers and Scanners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12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Excludes drums, fusers and other wear parts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Storage Devices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36 months</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Data recovery is never included, see section 4</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Software Licenses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Not applicable</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Covered by the vendor support term, typically 12 months</w:t>
            </w:r>
          </w:p>
        </w:tc>
      </w:tr>
      <w:tr>
        <w:trPr>
          <w:tblHeader w:val="false"/>
        </w:trPr>
        <w:tc>
          <w:tcPr>
            <w:tcW w:type="dxa" w:w="1900"/>
            <w:shd w:fill="FFFFFF" w:color="auto" w:val="clear"/>
            <w:tcMar>
              <w:top w:type="dxa" w:w="60"/>
              <w:left w:type="dxa" w:w="90"/>
              <w:bottom w:type="dxa" w:w="60"/>
              <w:right w:type="dxa" w:w="90"/>
            </w:tcMar>
          </w:tcPr>
          <w:p>
            <w:r>
              <w:rPr>
                <w:b w:val="false"/>
                <w:bCs w:val="false"/>
                <w:color w:val="000000"/>
                <w:sz w:val="19"/>
                <w:szCs w:val="19"/>
              </w:rPr>
              <w:t xml:space="preserve">Consumables</w:t>
            </w:r>
          </w:p>
        </w:tc>
        <w:tc>
          <w:tcPr>
            <w:tcW w:type="dxa" w:w="1500"/>
            <w:shd w:fill="FFFFFF" w:color="auto" w:val="clear"/>
            <w:tcMar>
              <w:top w:type="dxa" w:w="60"/>
              <w:left w:type="dxa" w:w="90"/>
              <w:bottom w:type="dxa" w:w="60"/>
              <w:right w:type="dxa" w:w="90"/>
            </w:tcMar>
          </w:tcPr>
          <w:p>
            <w:r>
              <w:rPr>
                <w:b w:val="false"/>
                <w:bCs w:val="false"/>
                <w:color w:val="000000"/>
                <w:sz w:val="19"/>
                <w:szCs w:val="19"/>
              </w:rPr>
              <w:t xml:space="preserve">None</w:t>
            </w:r>
          </w:p>
        </w:tc>
        <w:tc>
          <w:tcPr>
            <w:tcW w:type="dxa" w:w="5600"/>
            <w:shd w:fill="FFFFFF" w:color="auto" w:val="clear"/>
            <w:tcMar>
              <w:top w:type="dxa" w:w="60"/>
              <w:left w:type="dxa" w:w="90"/>
              <w:bottom w:type="dxa" w:w="60"/>
              <w:right w:type="dxa" w:w="90"/>
            </w:tcMar>
          </w:tcPr>
          <w:p>
            <w:r>
              <w:rPr>
                <w:b w:val="false"/>
                <w:bCs w:val="false"/>
                <w:color w:val="000000"/>
                <w:sz w:val="19"/>
                <w:szCs w:val="19"/>
              </w:rPr>
              <w:t xml:space="preserve">Replaced only where faulty on first use</w:t>
            </w:r>
          </w:p>
        </w:tc>
      </w:tr>
    </w:tbl>
    <w:p>
      <w:pPr>
        <w:spacing w:after="120"/>
      </w:pPr>
      <w:r>
        <w:rPr>
          <w:sz w:val="21"/>
          <w:szCs w:val="21"/>
        </w:rPr>
        <w:t xml:space="preserve"/>
      </w:r>
    </w:p>
    <w:p>
      <w:pPr>
        <w:spacing w:after="120"/>
      </w:pPr>
      <w:r>
        <w:rPr>
          <w:sz w:val="21"/>
          <w:szCs w:val="21"/>
        </w:rPr>
        <w:t xml:space="preserve">2.9 Where a customer holds an extended warranty agreement, the extended period replaces the standard period in full and is recorded against the customer account.</w:t>
      </w:r>
    </w:p>
    <w:p>
      <w:pPr>
        <w:pStyle w:val="Heading2"/>
        <w:spacing w:after="120" w:before="260"/>
      </w:pPr>
      <w:r>
        <w:rPr>
          <w:b/>
          <w:bCs/>
          <w:color w:val="2E5C9A"/>
          <w:sz w:val="24"/>
          <w:szCs w:val="24"/>
        </w:rPr>
        <w:t xml:space="preserve">3. Dead on Arrival</w:t>
      </w:r>
    </w:p>
    <w:p>
      <w:pPr>
        <w:spacing w:after="120"/>
      </w:pPr>
      <w:r>
        <w:rPr>
          <w:sz w:val="21"/>
          <w:szCs w:val="21"/>
        </w:rPr>
        <w:t xml:space="preserve">3.1 A product that fails within 10 business days of delivery is treated as dead on arrival and is replaced with a new unit rather than repaired.</w:t>
      </w:r>
    </w:p>
    <w:p>
      <w:pPr>
        <w:spacing w:after="120"/>
      </w:pPr>
      <w:r>
        <w:rPr>
          <w:sz w:val="21"/>
          <w:szCs w:val="21"/>
        </w:rPr>
        <w:t xml:space="preserve">3.2 Dead on arrival replacements are shipped within 3 business days of the fault being confirmed, at no cost to the customer.</w:t>
      </w:r>
    </w:p>
    <w:p>
      <w:pPr>
        <w:pStyle w:val="Heading2"/>
        <w:spacing w:after="120" w:before="260"/>
      </w:pPr>
      <w:r>
        <w:rPr>
          <w:b/>
          <w:bCs/>
          <w:color w:val="2E5C9A"/>
          <w:sz w:val="24"/>
          <w:szCs w:val="24"/>
        </w:rPr>
        <w:t xml:space="preserve">4. What Is Not Covered</w:t>
      </w:r>
    </w:p>
    <w:p>
      <w:pPr>
        <w:spacing w:after="120"/>
      </w:pPr>
      <w:r>
        <w:rPr>
          <w:sz w:val="21"/>
          <w:szCs w:val="21"/>
        </w:rPr>
        <w:t xml:space="preserve">The warranty does not cover any of the following:</w:t>
      </w:r>
    </w:p>
    <w:p>
      <w:pPr>
        <w:pStyle w:val="ListParagraph"/>
        <w:numPr>
          <w:ilvl w:val="0"/>
          <w:numId w:val="2"/>
        </w:numPr>
        <w:spacing w:after="80"/>
      </w:pPr>
      <w:r>
        <w:rPr>
          <w:sz w:val="21"/>
          <w:szCs w:val="21"/>
        </w:rPr>
        <w:t xml:space="preserve">Damage caused by misuse, accident, liquid ingress, or use outside the published environmental range.</w:t>
      </w:r>
    </w:p>
    <w:p>
      <w:pPr>
        <w:pStyle w:val="ListParagraph"/>
        <w:numPr>
          <w:ilvl w:val="0"/>
          <w:numId w:val="2"/>
        </w:numPr>
        <w:spacing w:after="80"/>
      </w:pPr>
      <w:r>
        <w:rPr>
          <w:sz w:val="21"/>
          <w:szCs w:val="21"/>
        </w:rPr>
        <w:t xml:space="preserve">Damage caused by power surges where no approved surge protection was fitted.</w:t>
      </w:r>
    </w:p>
    <w:p>
      <w:pPr>
        <w:pStyle w:val="ListParagraph"/>
        <w:numPr>
          <w:ilvl w:val="0"/>
          <w:numId w:val="2"/>
        </w:numPr>
        <w:spacing w:after="80"/>
      </w:pPr>
      <w:r>
        <w:rPr>
          <w:sz w:val="21"/>
          <w:szCs w:val="21"/>
        </w:rPr>
        <w:t xml:space="preserve">Consumable and wear parts, including toner cartridges, drum units, fusers, keyboard membranes and chair castors.</w:t>
      </w:r>
    </w:p>
    <w:p>
      <w:pPr>
        <w:pStyle w:val="ListParagraph"/>
        <w:numPr>
          <w:ilvl w:val="0"/>
          <w:numId w:val="2"/>
        </w:numPr>
        <w:spacing w:after="80"/>
      </w:pPr>
      <w:r>
        <w:rPr>
          <w:sz w:val="21"/>
          <w:szCs w:val="21"/>
        </w:rPr>
        <w:t xml:space="preserve">Cosmetic damage that does not affect function.</w:t>
      </w:r>
    </w:p>
    <w:p>
      <w:pPr>
        <w:pStyle w:val="ListParagraph"/>
        <w:numPr>
          <w:ilvl w:val="0"/>
          <w:numId w:val="2"/>
        </w:numPr>
        <w:spacing w:after="80"/>
      </w:pPr>
      <w:r>
        <w:rPr>
          <w:sz w:val="21"/>
          <w:szCs w:val="21"/>
        </w:rPr>
        <w:t xml:space="preserve">Products where the serial number has been removed, altered or is unreadable.</w:t>
      </w:r>
    </w:p>
    <w:p>
      <w:pPr>
        <w:pStyle w:val="ListParagraph"/>
        <w:numPr>
          <w:ilvl w:val="0"/>
          <w:numId w:val="2"/>
        </w:numPr>
        <w:spacing w:after="80"/>
      </w:pPr>
      <w:r>
        <w:rPr>
          <w:sz w:val="21"/>
          <w:szCs w:val="21"/>
        </w:rPr>
        <w:t xml:space="preserve">Repairs or modifications carried out by anyone other than Contoso Trading Services or an authorised service partner.</w:t>
      </w:r>
    </w:p>
    <w:p>
      <w:pPr>
        <w:pStyle w:val="ListParagraph"/>
        <w:numPr>
          <w:ilvl w:val="0"/>
          <w:numId w:val="2"/>
        </w:numPr>
        <w:spacing w:after="80"/>
      </w:pPr>
      <w:r>
        <w:rPr>
          <w:sz w:val="21"/>
          <w:szCs w:val="21"/>
        </w:rPr>
        <w:t xml:space="preserve">Recovery of data from any storage device. Customers are responsible for maintaining their own backups.</w:t>
      </w:r>
    </w:p>
    <w:p>
      <w:pPr>
        <w:pStyle w:val="ListParagraph"/>
        <w:numPr>
          <w:ilvl w:val="0"/>
          <w:numId w:val="2"/>
        </w:numPr>
        <w:spacing w:after="80"/>
      </w:pPr>
      <w:r>
        <w:rPr>
          <w:sz w:val="21"/>
          <w:szCs w:val="21"/>
        </w:rPr>
        <w:t xml:space="preserve">Software faults, configuration errors and compatibility issues.</w:t>
      </w:r>
    </w:p>
    <w:p>
      <w:pPr>
        <w:pStyle w:val="ListParagraph"/>
        <w:numPr>
          <w:ilvl w:val="0"/>
          <w:numId w:val="2"/>
        </w:numPr>
        <w:spacing w:after="80"/>
      </w:pPr>
      <w:r>
        <w:rPr>
          <w:sz w:val="21"/>
          <w:szCs w:val="21"/>
        </w:rPr>
        <w:t xml:space="preserve">Products purchased as clearance or ex-demonstration stock, which are sold with a 90 day limited warranty instead.</w:t>
      </w:r>
    </w:p>
    <w:p>
      <w:pPr>
        <w:pStyle w:val="Heading2"/>
        <w:spacing w:after="120" w:before="260"/>
      </w:pPr>
      <w:r>
        <w:rPr>
          <w:b/>
          <w:bCs/>
          <w:color w:val="2E5C9A"/>
          <w:sz w:val="24"/>
          <w:szCs w:val="24"/>
        </w:rPr>
        <w:t xml:space="preserve">5. Making a Claim</w:t>
      </w:r>
    </w:p>
    <w:p>
      <w:pPr>
        <w:spacing w:after="120"/>
      </w:pPr>
      <w:r>
        <w:rPr>
          <w:sz w:val="21"/>
          <w:szCs w:val="21"/>
        </w:rPr>
        <w:t xml:space="preserve">5.1 The customer raises a warranty claim through their account executive or the customer portal, quoting the original order number and the product serial number.</w:t>
      </w:r>
    </w:p>
    <w:p>
      <w:pPr>
        <w:spacing w:after="120"/>
      </w:pPr>
      <w:r>
        <w:rPr>
          <w:sz w:val="21"/>
          <w:szCs w:val="21"/>
        </w:rPr>
        <w:t xml:space="preserve">5.2 Customer Operations issues a warranty case number within 2 business days.</w:t>
      </w:r>
    </w:p>
    <w:p>
      <w:pPr>
        <w:spacing w:after="120"/>
      </w:pPr>
      <w:r>
        <w:rPr>
          <w:sz w:val="21"/>
          <w:szCs w:val="21"/>
        </w:rPr>
        <w:t xml:space="preserve">5.3 The product is assessed within 5 business days of arrival at the regional service centre.</w:t>
      </w:r>
    </w:p>
    <w:p>
      <w:pPr>
        <w:spacing w:after="120"/>
      </w:pPr>
      <w:r>
        <w:rPr>
          <w:sz w:val="21"/>
          <w:szCs w:val="21"/>
        </w:rPr>
        <w:t xml:space="preserve">5.4 Where a repair is authorised, the target turnaround is 15 business days from assessment to despatch of the repaired unit.</w:t>
      </w:r>
    </w:p>
    <w:p>
      <w:pPr>
        <w:spacing w:after="120"/>
      </w:pPr>
      <w:r>
        <w:rPr>
          <w:sz w:val="21"/>
          <w:szCs w:val="21"/>
        </w:rPr>
        <w:t xml:space="preserve">5.5 Where a repair is not economic, a replacement of equivalent specification is supplied. Contoso Trading Services is not obliged to supply an identical model.</w:t>
      </w:r>
    </w:p>
    <w:p>
      <w:pPr>
        <w:pStyle w:val="Heading2"/>
        <w:spacing w:after="120" w:before="260"/>
      </w:pPr>
      <w:r>
        <w:rPr>
          <w:b/>
          <w:bCs/>
          <w:color w:val="2E5C9A"/>
          <w:sz w:val="24"/>
          <w:szCs w:val="24"/>
        </w:rPr>
        <w:t xml:space="preserve">6. Advance Replacement</w:t>
      </w:r>
    </w:p>
    <w:p>
      <w:pPr>
        <w:spacing w:after="120"/>
      </w:pPr>
      <w:r>
        <w:rPr>
          <w:sz w:val="21"/>
          <w:szCs w:val="21"/>
        </w:rPr>
        <w:t xml:space="preserve">6.1 Advance replacement is available on Networking and Electronics products for customers in the Enterprise and Government segments.</w:t>
      </w:r>
    </w:p>
    <w:p>
      <w:pPr>
        <w:spacing w:after="120"/>
      </w:pPr>
      <w:r>
        <w:rPr>
          <w:sz w:val="21"/>
          <w:szCs w:val="21"/>
        </w:rPr>
        <w:t xml:space="preserve">6.2 Under advance replacement, a working unit is despatched within 1 business day of the fault being confirmed and the faulty unit must be returned within 10 business days.</w:t>
      </w:r>
    </w:p>
    <w:p>
      <w:pPr>
        <w:spacing w:after="120"/>
      </w:pPr>
      <w:r>
        <w:rPr>
          <w:sz w:val="21"/>
          <w:szCs w:val="21"/>
        </w:rPr>
        <w:t xml:space="preserve">6.3 If the faulty unit is not returned within 10 business days, the replacement is invoiced at the current list price.</w:t>
      </w:r>
    </w:p>
    <w:p>
      <w:pPr>
        <w:pStyle w:val="Heading2"/>
        <w:spacing w:after="120" w:before="260"/>
      </w:pPr>
      <w:r>
        <w:rPr>
          <w:b/>
          <w:bCs/>
          <w:color w:val="2E5C9A"/>
          <w:sz w:val="24"/>
          <w:szCs w:val="24"/>
        </w:rPr>
        <w:t xml:space="preserve">7. Transfer and Territory</w:t>
      </w:r>
    </w:p>
    <w:p>
      <w:pPr>
        <w:spacing w:after="120"/>
      </w:pPr>
      <w:r>
        <w:rPr>
          <w:sz w:val="21"/>
          <w:szCs w:val="21"/>
        </w:rPr>
        <w:t xml:space="preserve">7.1 The warranty follows the product, not the purchaser, and transfers automatically if the product is sold on within the same region.</w:t>
      </w:r>
    </w:p>
    <w:p>
      <w:pPr>
        <w:spacing w:after="120"/>
      </w:pPr>
      <w:r>
        <w:rPr>
          <w:sz w:val="21"/>
          <w:szCs w:val="21"/>
        </w:rPr>
        <w:t xml:space="preserve">7.2 Warranty service is provided only in the region in which the product was originally delivered. Cross-region service requires a global support agreement.</w:t>
      </w:r>
    </w:p>
    <w:p>
      <w:pPr>
        <w:pStyle w:val="Heading2"/>
        <w:spacing w:after="120" w:before="260"/>
      </w:pPr>
      <w:r>
        <w:rPr>
          <w:b/>
          <w:bCs/>
          <w:color w:val="2E5C9A"/>
          <w:sz w:val="24"/>
          <w:szCs w:val="24"/>
        </w:rPr>
        <w:t xml:space="preserve">8. Limitation of Liability</w:t>
      </w:r>
    </w:p>
    <w:p>
      <w:pPr>
        <w:spacing w:after="120"/>
      </w:pPr>
      <w:r>
        <w:rPr>
          <w:sz w:val="21"/>
          <w:szCs w:val="21"/>
        </w:rPr>
        <w:t xml:space="preserve">8.1 The remedies set out in this document are the sole remedies available in respect of a faulty product.</w:t>
      </w:r>
    </w:p>
    <w:p>
      <w:pPr>
        <w:spacing w:after="120"/>
      </w:pPr>
      <w:r>
        <w:rPr>
          <w:sz w:val="21"/>
          <w:szCs w:val="21"/>
        </w:rPr>
        <w:t xml:space="preserve">8.2 Contoso Trading Services is not liable for indirect or consequential loss, including loss of profit, loss of data or business interruption.</w:t>
      </w:r>
    </w:p>
    <w:p>
      <w:pPr>
        <w:spacing w:after="120"/>
      </w:pPr>
      <w:r>
        <w:rPr>
          <w:sz w:val="21"/>
          <w:szCs w:val="21"/>
        </w:rPr>
        <w:t xml:space="preserve">8.3 Total liability under this warranty is limited to the price paid for the product concerned.</w:t>
      </w:r>
    </w:p>
    <w:p>
      <w:pPr>
        <w:spacing w:after="120"/>
      </w:pPr>
      <w:r>
        <w:rPr>
          <w:sz w:val="21"/>
          <w:szCs w:val="21"/>
        </w:rPr>
        <w:t xml:space="preserve"/>
      </w:r>
    </w:p>
    <w:p>
      <w:pPr>
        <w:spacing w:after="120"/>
      </w:pPr>
      <w:r>
        <w:rPr>
          <w:color w:val="444444"/>
          <w:sz w:val="18"/>
          <w:szCs w:val="18"/>
        </w:rPr>
        <w:t xml:space="preserve">-- END OF DOCUMENT --</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Warranty Terms</dc:title>
  <dc:creator>Contoso Trading Services</dc:creator>
  <dc:description>CTS-POL-007 Product Warranty Terms v2.4</dc:description>
  <cp:lastModifiedBy>Un-named</cp:lastModifiedBy>
  <cp:revision>1</cp:revision>
  <dcterms:created xsi:type="dcterms:W3CDTF">2026-08-04T10:01:39.087Z</dcterms:created>
  <dcterms:modified xsi:type="dcterms:W3CDTF">2026-08-04T10:01:39.104Z</dcterms:modified>
</cp:coreProperties>
</file>

<file path=docProps/custom.xml><?xml version="1.0" encoding="utf-8"?>
<Properties xmlns="http://schemas.openxmlformats.org/officeDocument/2006/custom-properties" xmlns:vt="http://schemas.openxmlformats.org/officeDocument/2006/docPropsVTypes"/>
</file>