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Requirements Specification Table</w:t>
      </w:r>
    </w:p>
    <w:p>
      <w:r>
        <w:rPr>
          <w:i/>
          <w:iCs/>
          <w:sz w:val="22"/>
          <w:szCs w:val="22"/>
        </w:rPr>
        <w:t xml:space="preserve">Problem Statement #07 — Hostel Maintenance &amp; Issue Ticketing System</w:t>
      </w:r>
    </w:p>
    <w:p>
      <w:pPr>
        <w:spacing w:after="200"/>
      </w:pPr>
      <w:r>
        <w:rPr>
          <w:sz w:val="20"/>
          <w:szCs w:val="20"/>
        </w:rPr>
        <w:t xml:space="preserve">Actors: Hostel Resident, Maintenance Warden, Notification Service (automated system actor)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1300"/>
        <w:gridCol w:w="3300"/>
        <w:gridCol w:w="950"/>
        <w:gridCol w:w="4000"/>
        <w:gridCol w:w="4000"/>
      </w:tblGrid>
      <w:tr>
        <w:trPr>
          <w:tblHeader/>
        </w:trPr>
        <w:tc>
          <w:tcPr>
            <w:tcW w:type="dxa" w:w="8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 ID</w:t>
            </w:r>
          </w:p>
        </w:tc>
        <w:tc>
          <w:tcPr>
            <w:tcW w:type="dxa" w:w="1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9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4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4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rPr>
          <w:cantSplit/>
        </w:trPr>
        <w:tc>
          <w:tcPr>
            <w:tcW w:type="dxa" w:w="850"/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FR-001</w:t>
            </w:r>
          </w:p>
        </w:tc>
        <w:tc>
          <w:tcPr>
            <w:tcW w:type="dxa" w:w="1300"/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300"/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enable residents to log maintenance tickets with room number tags, photo attachments, and categorized issue severity (Plumbing / Electrical / Carpentry).</w:t>
            </w:r>
          </w:p>
        </w:tc>
        <w:tc>
          <w:tcPr>
            <w:tcW w:type="dxa" w:w="950"/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4000"/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Ticket is created, assigned a unique ID, and routed to the warden queue. Fail: Incomplete form (missing room tag or category) is accepted.</w:t>
            </w:r>
          </w:p>
        </w:tc>
        <w:tc>
          <w:tcPr>
            <w:tcW w:type="dxa" w:w="4000"/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Core intake function; structured, evidence-backed tickets reduce triage time and mis-routing.</w:t>
            </w:r>
          </w:p>
        </w:tc>
      </w:tr>
      <w:tr>
        <w:trPr>
          <w:cantSplit/>
        </w:trPr>
        <w:tc>
          <w:tcPr>
            <w:tcW w:type="dxa" w:w="850"/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FR-002</w:t>
            </w:r>
          </w:p>
        </w:tc>
        <w:tc>
          <w:tcPr>
            <w:tcW w:type="dxa" w:w="1300"/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300"/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allow the Maintenance Warden to assign a submitted ticket to a specific maintenance staff member and set an expected resolution timeframe based on issue severity.</w:t>
            </w:r>
          </w:p>
        </w:tc>
        <w:tc>
          <w:tcPr>
            <w:tcW w:type="dxa" w:w="950"/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4000"/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Ticket status changes to “Assigned” with staff name, category, and a due date/time recorded. Fail: Ticket remains “Unassigned” with no staff or due-date details.</w:t>
            </w:r>
          </w:p>
        </w:tc>
        <w:tc>
          <w:tcPr>
            <w:tcW w:type="dxa" w:w="4000"/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Enables efficient dispatch and accountability, and anchors the SLA clock used for escalation.</w:t>
            </w:r>
          </w:p>
        </w:tc>
      </w:tr>
      <w:tr>
        <w:trPr>
          <w:cantSplit/>
        </w:trPr>
        <w:tc>
          <w:tcPr>
            <w:tcW w:type="dxa" w:w="850"/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FR-003</w:t>
            </w:r>
          </w:p>
        </w:tc>
        <w:tc>
          <w:tcPr>
            <w:tcW w:type="dxa" w:w="1300"/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300"/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allow residents to view real-time status updates (Open, Assigned, In Progress, Resolved, Closed) for every ticket they have raised.</w:t>
            </w:r>
          </w:p>
        </w:tc>
        <w:tc>
          <w:tcPr>
            <w:tcW w:type="dxa" w:w="950"/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4000"/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Status shown to the resident matches backend state within 5 seconds of a warden update. Fail: Resident-visible status is stale or inconsistent with backend state.</w:t>
            </w:r>
          </w:p>
        </w:tc>
        <w:tc>
          <w:tcPr>
            <w:tcW w:type="dxa" w:w="4000"/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Improves transparency and cuts down repeated follow-up queries to the warden’s office.</w:t>
            </w:r>
          </w:p>
        </w:tc>
      </w:tr>
      <w:tr>
        <w:trPr>
          <w:cantSplit/>
        </w:trPr>
        <w:tc>
          <w:tcPr>
            <w:tcW w:type="dxa" w:w="850"/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FR-004</w:t>
            </w:r>
          </w:p>
        </w:tc>
        <w:tc>
          <w:tcPr>
            <w:tcW w:type="dxa" w:w="1300"/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300"/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require the resident to confirm satisfactory resolution and provide a digital sign-off before a ticket can be marked “Closed.”</w:t>
            </w:r>
          </w:p>
        </w:tc>
        <w:tc>
          <w:tcPr>
            <w:tcW w:type="dxa" w:w="950"/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4000"/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A ticket cannot transition to “Closed” without a timestamped resident confirmation on record. Fail: A ticket is closed by the warden alone with no resident acknowledgement.</w:t>
            </w:r>
          </w:p>
        </w:tc>
        <w:tc>
          <w:tcPr>
            <w:tcW w:type="dxa" w:w="4000"/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Confirms the issue is genuinely resolved from the resident’s perspective and prevents false closures.</w:t>
            </w:r>
          </w:p>
        </w:tc>
      </w:tr>
      <w:tr>
        <w:trPr>
          <w:cantSplit/>
        </w:trPr>
        <w:tc>
          <w:tcPr>
            <w:tcW w:type="dxa" w:w="850"/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FR-005</w:t>
            </w:r>
          </w:p>
        </w:tc>
        <w:tc>
          <w:tcPr>
            <w:tcW w:type="dxa" w:w="1300"/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300"/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automatically capture and attach the resident’s hostel block, floor, and geo-tag coordinates to every ticket at the time of submission.</w:t>
            </w:r>
          </w:p>
        </w:tc>
        <w:tc>
          <w:tcPr>
            <w:tcW w:type="dxa" w:w="950"/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4000"/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Every saved ticket record has non-empty block, floor, and coordinate fields. Fail: A ticket is saved with a missing or blank location field.</w:t>
            </w:r>
          </w:p>
        </w:tc>
        <w:tc>
          <w:tcPr>
            <w:tcW w:type="dxa" w:w="4000"/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Removes location ambiguity so maintenance staff can be dispatched directly without follow-up calls.</w:t>
            </w:r>
          </w:p>
        </w:tc>
      </w:tr>
      <w:tr>
        <w:trPr>
          <w:cantSplit/>
        </w:trPr>
        <w:tc>
          <w:tcPr>
            <w:tcW w:type="dxa" w:w="850"/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NFR-001</w:t>
            </w:r>
          </w:p>
        </w:tc>
        <w:tc>
          <w:tcPr>
            <w:tcW w:type="dxa" w:w="1300"/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Nonfunctional</w:t>
            </w:r>
          </w:p>
        </w:tc>
        <w:tc>
          <w:tcPr>
            <w:tcW w:type="dxa" w:w="3300"/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[Performance &amp; Security] The system shall trigger automated escalation SMS/Email alerts if high-priority tickets exceed a 24-hour SLA without a status change.</w:t>
            </w:r>
          </w:p>
        </w:tc>
        <w:tc>
          <w:tcPr>
            <w:tcW w:type="dxa" w:w="950"/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4000"/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Benchmark tests confirm the target latency and security standards are met under simulated peak load. Fail: Escalation alert is not sent within the defined SLA window.</w:t>
            </w:r>
          </w:p>
        </w:tc>
        <w:tc>
          <w:tcPr>
            <w:tcW w:type="dxa" w:w="4000"/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Prevents unresolved high-priority issues (e.g. electrical hazards, water leakage) from being neglected.</w:t>
            </w:r>
          </w:p>
        </w:tc>
      </w:tr>
      <w:tr>
        <w:trPr>
          <w:cantSplit/>
        </w:trPr>
        <w:tc>
          <w:tcPr>
            <w:tcW w:type="dxa" w:w="850"/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NFR-002</w:t>
            </w:r>
          </w:p>
        </w:tc>
        <w:tc>
          <w:tcPr>
            <w:tcW w:type="dxa" w:w="1300"/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Nonfunctional</w:t>
            </w:r>
          </w:p>
        </w:tc>
        <w:tc>
          <w:tcPr>
            <w:tcW w:type="dxa" w:w="3300"/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[Availability &amp; Usability] The system shall remain available to accept new ticket submissions with at least 99.5% uptime, excluding scheduled maintenance windows announced at least 24 hours in advance.</w:t>
            </w:r>
          </w:p>
        </w:tc>
        <w:tc>
          <w:tcPr>
            <w:tcW w:type="dxa" w:w="950"/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4000"/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Monthly uptime logs show ≥ 99.5% availability. Fail: Uptime falls below 99.5% without a documented, pre-announced maintenance window.</w:t>
            </w:r>
          </w:p>
        </w:tc>
        <w:tc>
          <w:tcPr>
            <w:tcW w:type="dxa" w:w="4000"/>
            <w:shd w:fill="EEF4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Guarantees residents can report urgent or safety-critical issues at any time without being blocked by downtime.</w:t>
            </w:r>
          </w:p>
        </w:tc>
      </w:tr>
    </w:tbl>
    <w:p>
      <w:pPr>
        <w:spacing w:before="200"/>
      </w:pPr>
    </w:p>
    <w:p>
      <w:r>
        <w:rPr>
          <w:i/>
          <w:iCs/>
          <w:color w:val="555555"/>
          <w:sz w:val="18"/>
          <w:szCs w:val="18"/>
        </w:rPr>
        <w:t xml:space="preserve">Note: FR-001 and NFR-001 were provided by the instructor as guideline examples; FR-002–FR-005 and NFR-002 were authored to complete the scenario.</w:t>
      </w:r>
    </w:p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2026-08-28T09:12:53.759Z</dcterms:created>
  <dcterms:modified xsi:type="dcterms:W3CDTF">2026-08-28T09:12:53.760Z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