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800" w:lineRule="auto"/>
        <w:jc w:val="center"/>
        <w:rPr/>
      </w:pPr>
      <w:r w:rsidDel="00000000" w:rsidR="00000000" w:rsidRPr="00000000">
        <w:rPr>
          <w:b w:val="1"/>
          <w:bCs w:val="1"/>
          <w:color w:val="595959"/>
          <w:sz w:val="24"/>
          <w:szCs w:val="24"/>
          <w:rtl w:val="0"/>
        </w:rPr>
        <w:t xml:space="preserve">YUVA INTERN — NSDC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before="60" w:lineRule="auto"/>
        <w:jc w:val="center"/>
        <w:rPr/>
      </w:pPr>
      <w:r w:rsidDel="00000000" w:rsidR="00000000" w:rsidRPr="00000000">
        <w:rPr>
          <w:color w:val="595959"/>
          <w:sz w:val="22"/>
          <w:szCs w:val="22"/>
          <w:rtl w:val="0"/>
        </w:rPr>
        <w:t xml:space="preserve">Virtual Data Analysis Intern — E-Governance &amp; Digital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400" w:lineRule="auto"/>
        <w:jc w:val="center"/>
        <w:rPr/>
      </w:pPr>
      <w:r w:rsidDel="00000000" w:rsidR="00000000" w:rsidRPr="00000000">
        <w:rPr>
          <w:b w:val="1"/>
          <w:bCs w:val="1"/>
          <w:color w:val="e8730a"/>
          <w:sz w:val="28"/>
          <w:szCs w:val="28"/>
          <w:rtl w:val="0"/>
        </w:rPr>
        <w:t xml:space="preserve">Week 1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0" w:lineRule="auto"/>
        <w:jc w:val="center"/>
        <w:rPr/>
      </w:pPr>
      <w:r w:rsidDel="00000000" w:rsidR="00000000" w:rsidRPr="00000000">
        <w:rPr>
          <w:b w:val="1"/>
          <w:bCs w:val="1"/>
          <w:color w:val="1f1f1f"/>
          <w:sz w:val="36"/>
          <w:szCs w:val="36"/>
          <w:rtl w:val="0"/>
        </w:rPr>
        <w:t xml:space="preserve">Strategic Planning for E-Governance Data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2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2"/>
          <w:szCs w:val="22"/>
          <w:rtl w:val="0"/>
        </w:rPr>
        <w:t xml:space="preserve">Duration: 31-Jul-2026 to 11-Sep-2026 (6 Weeks)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0" w:lineRule="auto"/>
        <w:jc w:val="center"/>
        <w:rPr/>
      </w:pPr>
      <w:r w:rsidDel="00000000" w:rsidR="00000000" w:rsidRPr="00000000">
        <w:rPr>
          <w:color w:val="1f1f1f"/>
          <w:sz w:val="22"/>
          <w:szCs w:val="22"/>
          <w:rtl w:val="0"/>
        </w:rPr>
        <w:t xml:space="preserve">Prepared by: Chirag Chhabra  | Rajasthan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Bdr>
          <w:bottom w:color="e8730a" w:space="4" w:sz="8" w:val="single"/>
        </w:pBdr>
        <w:spacing w:after="180" w:before="360" w:lineRule="auto"/>
        <w:rPr/>
      </w:pPr>
      <w:r w:rsidDel="00000000" w:rsidR="00000000" w:rsidRPr="00000000">
        <w:rPr>
          <w:b w:val="1"/>
          <w:bCs w:val="1"/>
          <w:color w:val="e8730a"/>
          <w:sz w:val="30"/>
          <w:szCs w:val="30"/>
          <w:rtl w:val="0"/>
        </w:rPr>
        <w:t xml:space="preserve">1. 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300" w:lineRule="auto"/>
        <w:rPr/>
      </w:pPr>
      <w:r w:rsidDel="00000000" w:rsidR="00000000" w:rsidRPr="00000000">
        <w:rPr>
          <w:color w:val="1f1f1f"/>
          <w:sz w:val="22"/>
          <w:szCs w:val="22"/>
          <w:rtl w:val="0"/>
        </w:rPr>
        <w:t xml:space="preserve">The objective of this report is to develop a comprehensive strategic plan for analyzing digital service performance and efficiency within the e-governance domain, using publicly available datasets. Under the Digital India mission, two flagship digital service delivery platforms — DigiLocker (document access) and Common Service Centres/CSC (last-mile service delivery infrastructure) — form the central focus of this analysis, as together they represent the complete landscape of 'digital service adoption versus delivery infrastructure'.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300" w:lineRule="auto"/>
        <w:rPr/>
      </w:pPr>
      <w:r w:rsidDel="00000000" w:rsidR="00000000" w:rsidRPr="00000000">
        <w:rPr>
          <w:color w:val="1f1f1f"/>
          <w:sz w:val="22"/>
          <w:szCs w:val="22"/>
          <w:rtl w:val="0"/>
        </w:rPr>
        <w:t xml:space="preserve">This strategic plan identifies key performance indicators, outlines the methodology for data collection and cleaning, proposes a visualization and statistical framework, and provides a 6-week timeline that will structure all deliverables across the internship.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pBdr>
          <w:bottom w:color="e8730a" w:space="4" w:sz="8" w:val="single"/>
        </w:pBdr>
        <w:spacing w:after="180" w:before="360" w:lineRule="auto"/>
        <w:rPr/>
      </w:pPr>
      <w:r w:rsidDel="00000000" w:rsidR="00000000" w:rsidRPr="00000000">
        <w:rPr>
          <w:b w:val="1"/>
          <w:bCs w:val="1"/>
          <w:color w:val="e8730a"/>
          <w:sz w:val="30"/>
          <w:szCs w:val="30"/>
          <w:rtl w:val="0"/>
        </w:rPr>
        <w:t xml:space="preserve">2. Research &amp; Scoping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140" w:before="260" w:lineRule="auto"/>
        <w:rPr/>
      </w:pPr>
      <w:r w:rsidDel="00000000" w:rsidR="00000000" w:rsidRPr="00000000">
        <w:rPr>
          <w:b w:val="1"/>
          <w:bCs w:val="1"/>
          <w:color w:val="1f1f1f"/>
          <w:sz w:val="25"/>
          <w:szCs w:val="25"/>
          <w:rtl w:val="0"/>
        </w:rPr>
        <w:t xml:space="preserve">2.1 Data Sources Identified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300" w:lineRule="auto"/>
        <w:rPr/>
      </w:pPr>
      <w:r w:rsidDel="00000000" w:rsidR="00000000" w:rsidRPr="00000000">
        <w:rPr>
          <w:color w:val="1f1f1f"/>
          <w:sz w:val="22"/>
          <w:szCs w:val="22"/>
          <w:rtl w:val="0"/>
        </w:rPr>
        <w:t xml:space="preserve">Two official, publicly available Open Government Data (OGD) sources have been chosen, both of which capture different dimensions of digital governance at state/UT-level granularity: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DigiLocker Registered Users (State/UT-wise) — Rajya Sabha Session 265, Unstarred Question 543 (Official Government Data). This dataset gives the count of registered users of the DigiLocker platform in every state/UT, which is a direct measure of digital document adoption.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Common Service Centres (CSC) — State-wise Active CSCs, June 2026 (CSC e-Governance Services India Ltd., official CSC portal). This dataset provides functional CSCs (rural + urban split), total Gram Panchayats (GPs), and GP-level registered/functional CSC coverage ratios.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300" w:lineRule="auto"/>
        <w:rPr/>
      </w:pPr>
      <w:r w:rsidDel="00000000" w:rsidR="00000000" w:rsidRPr="00000000">
        <w:rPr>
          <w:color w:val="1f1f1f"/>
          <w:sz w:val="22"/>
          <w:szCs w:val="22"/>
          <w:rtl w:val="0"/>
        </w:rPr>
        <w:t xml:space="preserve">Both datasets cover 36 states/UTs, making a complete national-level analysis possible without any regional gap.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140" w:before="260" w:lineRule="auto"/>
        <w:rPr/>
      </w:pPr>
      <w:r w:rsidDel="00000000" w:rsidR="00000000" w:rsidRPr="00000000">
        <w:rPr>
          <w:b w:val="1"/>
          <w:bCs w:val="1"/>
          <w:color w:val="1f1f1f"/>
          <w:sz w:val="25"/>
          <w:szCs w:val="25"/>
          <w:rtl w:val="0"/>
        </w:rPr>
        <w:t xml:space="preserve">2.2 Scope of Analysis — Key Performance Indicators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300" w:lineRule="auto"/>
        <w:rPr/>
      </w:pPr>
      <w:r w:rsidDel="00000000" w:rsidR="00000000" w:rsidRPr="00000000">
        <w:rPr>
          <w:color w:val="1f1f1f"/>
          <w:sz w:val="22"/>
          <w:szCs w:val="22"/>
          <w:rtl w:val="0"/>
        </w:rPr>
        <w:t xml:space="preserve">The scope of analysis is defined across three core KPI categories: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Digital Adoption Rate — State-wise DigiLocker registered users (in absolute terms and per-capita context, where population data can be added in future weeks).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Service Delivery Infrastructure — Functional CSC density (rural vs urban split), indicating how robust last-mile service access 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Access Equity — Gram Panchayat (GP) coverage ratio, i.e. the percentage of GPs with at least one functional CSC available — a direct indicator of the rural-urban digital divide.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pBdr>
          <w:bottom w:color="e8730a" w:space="4" w:sz="8" w:val="single"/>
        </w:pBdr>
        <w:spacing w:after="180" w:before="360" w:lineRule="auto"/>
        <w:rPr/>
      </w:pPr>
      <w:r w:rsidDel="00000000" w:rsidR="00000000" w:rsidRPr="00000000">
        <w:rPr>
          <w:b w:val="1"/>
          <w:bCs w:val="1"/>
          <w:color w:val="e8730a"/>
          <w:sz w:val="30"/>
          <w:szCs w:val="30"/>
          <w:rtl w:val="0"/>
        </w:rPr>
        <w:t xml:space="preserve">3. Methodology Formulation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40" w:before="260" w:lineRule="auto"/>
        <w:rPr/>
      </w:pPr>
      <w:r w:rsidDel="00000000" w:rsidR="00000000" w:rsidRPr="00000000">
        <w:rPr>
          <w:b w:val="1"/>
          <w:bCs w:val="1"/>
          <w:color w:val="1f1f1f"/>
          <w:sz w:val="25"/>
          <w:szCs w:val="25"/>
          <w:rtl w:val="0"/>
        </w:rPr>
        <w:t xml:space="preserve">3.1 Data Collection Techniques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Both datasets were downloaded directly from government portals (data.gov.in / Parliament Q&amp;A records, official CSC portal) — no scraping or unofficial sources were used, ensuring data authenticity.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State/UT names were standardized (case normalization, naming convention alignment such as 'NCT of Delhi' vs 'Delhi') so both datasets could be merged on a common key.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140" w:before="260" w:lineRule="auto"/>
        <w:rPr/>
      </w:pPr>
      <w:r w:rsidDel="00000000" w:rsidR="00000000" w:rsidRPr="00000000">
        <w:rPr>
          <w:b w:val="1"/>
          <w:bCs w:val="1"/>
          <w:color w:val="1f1f1f"/>
          <w:sz w:val="25"/>
          <w:szCs w:val="25"/>
          <w:rtl w:val="0"/>
        </w:rPr>
        <w:t xml:space="preserve">3.2 Preliminary Cleaning &amp; Justification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Missing values check: No missing/null entries were found in either dataset (complete 36-state coverage).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Duplicate check: Each state/UT appears exactly once — no duplicates.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Naming standardization: 4 states/UTs required manual name reconciliation (e.g., 'Dadra &amp; NH, D&amp;D' → 'Dadra and Nagar Haveli and Daman and Diu') for an accurate merge.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Merged dataset: The final combined dataset has 36 rows and 8 columns — DigiLocker users, Functional CSC (total/rural/urban), No. of GPs, and GP coverage ratios.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pBdr>
          <w:bottom w:color="e8730a" w:space="4" w:sz="8" w:val="single"/>
        </w:pBdr>
        <w:spacing w:after="180" w:before="360" w:lineRule="auto"/>
        <w:rPr/>
      </w:pPr>
      <w:r w:rsidDel="00000000" w:rsidR="00000000" w:rsidRPr="00000000">
        <w:rPr>
          <w:b w:val="1"/>
          <w:bCs w:val="1"/>
          <w:color w:val="e8730a"/>
          <w:sz w:val="30"/>
          <w:szCs w:val="30"/>
          <w:rtl w:val="0"/>
        </w:rPr>
        <w:t xml:space="preserve">4. Strategic Framework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300" w:lineRule="auto"/>
        <w:rPr/>
      </w:pPr>
      <w:r w:rsidDel="00000000" w:rsidR="00000000" w:rsidRPr="00000000">
        <w:rPr>
          <w:color w:val="1f1f1f"/>
          <w:sz w:val="22"/>
          <w:szCs w:val="22"/>
          <w:rtl w:val="0"/>
        </w:rPr>
        <w:t xml:space="preserve">The framework diagram below visually represents the 6-week pipeline of this internship — each week's output forms the foundation for the next week's 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3238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6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Figure 1: Strategic Framework — E-Governance Digital Service Analysis Pipeline (Week 1–6)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140" w:before="260" w:lineRule="auto"/>
        <w:rPr/>
      </w:pPr>
      <w:r w:rsidDel="00000000" w:rsidR="00000000" w:rsidRPr="00000000">
        <w:rPr>
          <w:b w:val="1"/>
          <w:bCs w:val="1"/>
          <w:color w:val="1f1f1f"/>
          <w:sz w:val="25"/>
          <w:szCs w:val="25"/>
          <w:rtl w:val="0"/>
        </w:rPr>
        <w:t xml:space="preserve">4.1 Proposed Visualization Techniques (for Week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Bar charts — State-wise ranking (top/bottom performers) for DigiLocker adoption and CSC density.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Stacked bar charts — Rural vs Urban CSC split, to make infrastructure distribution clear.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Scatter plots with trend line — To identify correlation between adoption and infrastructure.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Choropleth-style ranking tables — To highlight equity gaps through GP coverage ratio.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140" w:before="260" w:lineRule="auto"/>
        <w:rPr/>
      </w:pPr>
      <w:r w:rsidDel="00000000" w:rsidR="00000000" w:rsidRPr="00000000">
        <w:rPr>
          <w:b w:val="1"/>
          <w:bCs w:val="1"/>
          <w:color w:val="1f1f1f"/>
          <w:sz w:val="25"/>
          <w:szCs w:val="25"/>
          <w:rtl w:val="0"/>
        </w:rPr>
        <w:t xml:space="preserve">4.2 Proposed Statistical Techniques (for Week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Pearson correlation analysis — To test the relationship between DigiLocker adoption and CSC infrastructure.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— A model to predict adoption from infrastructure metrics.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Hypothesis testing — To check whether the adoption difference between high vs low GP-coverage states is statistically significant.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after="140" w:before="260" w:lineRule="auto"/>
        <w:rPr/>
      </w:pPr>
      <w:r w:rsidDel="00000000" w:rsidR="00000000" w:rsidRPr="00000000">
        <w:rPr>
          <w:b w:val="1"/>
          <w:bCs w:val="1"/>
          <w:color w:val="1f1f1f"/>
          <w:sz w:val="25"/>
          <w:szCs w:val="25"/>
          <w:rtl w:val="0"/>
        </w:rPr>
        <w:t xml:space="preserve">4.3 Preliminary Insight (Early Indicator)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300" w:lineRule="auto"/>
        <w:rPr/>
      </w:pPr>
      <w:r w:rsidDel="00000000" w:rsidR="00000000" w:rsidRPr="00000000">
        <w:rPr>
          <w:color w:val="1f1f1f"/>
          <w:sz w:val="22"/>
          <w:szCs w:val="22"/>
          <w:rtl w:val="0"/>
        </w:rPr>
        <w:t xml:space="preserve">Initial exploratory analysis found a strong positive correlation (r ≈ 0.83) between DigiLocker registered users and functional CSC count — meaning states with more robust CSC infrastructure also show higher digital adoption. This insight provides a strong foundation for Week 4 (Statistical Analysis) and Week 5 (Predictive Modeling).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572000" cy="3429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6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Figure 2: Correlation between Functional CSC count and DigiLocker Registered Users (r ≈ 0.83)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pBdr>
          <w:bottom w:color="e8730a" w:space="4" w:sz="8" w:val="single"/>
        </w:pBdr>
        <w:spacing w:after="180" w:before="360" w:lineRule="auto"/>
        <w:rPr/>
      </w:pPr>
      <w:r w:rsidDel="00000000" w:rsidR="00000000" w:rsidRPr="00000000">
        <w:rPr>
          <w:b w:val="1"/>
          <w:bCs w:val="1"/>
          <w:color w:val="e8730a"/>
          <w:sz w:val="30"/>
          <w:szCs w:val="30"/>
          <w:rtl w:val="0"/>
        </w:rPr>
        <w:t xml:space="preserve">5. Timeline and Resource Identification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after="140" w:before="260" w:lineRule="auto"/>
        <w:rPr/>
      </w:pPr>
      <w:r w:rsidDel="00000000" w:rsidR="00000000" w:rsidRPr="00000000">
        <w:rPr>
          <w:b w:val="1"/>
          <w:bCs w:val="1"/>
          <w:color w:val="1f1f1f"/>
          <w:sz w:val="25"/>
          <w:szCs w:val="25"/>
          <w:rtl w:val="0"/>
        </w:rPr>
        <w:t xml:space="preserve">5.1 Estimated Timeline</w:t>
      </w: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4200"/>
        <w:gridCol w:w="3750"/>
        <w:tblGridChange w:id="0">
          <w:tblGrid>
            <w:gridCol w:w="1400"/>
            <w:gridCol w:w="4200"/>
            <w:gridCol w:w="3750"/>
          </w:tblGrid>
        </w:tblGridChange>
      </w:tblGrid>
      <w:tr>
        <w:trPr>
          <w:cantSplit w:val="0"/>
          <w:tblHeader w:val="1"/>
        </w:trPr>
        <w:tc>
          <w:tcPr>
            <w:shd w:fill="e8730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730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Focus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730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Strategic Planning &amp; Scoping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Strategic plan DOC (this report)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Data Collection &amp; Cleaning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Cleaned merged dataset + replication guide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Exploratory Data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4+ visualizations + insight narrative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Statistical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Correlation, regression, hypothesis tests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Predictive Modeling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Demand forecasting model + evaluation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Final Comprehensive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20"/>
                <w:szCs w:val="20"/>
                <w:rtl w:val="0"/>
              </w:rPr>
              <w:t xml:space="preserve">Consolidated findings + recommendations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40" w:before="260" w:lineRule="auto"/>
        <w:rPr/>
      </w:pPr>
      <w:r w:rsidDel="00000000" w:rsidR="00000000" w:rsidRPr="00000000">
        <w:rPr>
          <w:b w:val="1"/>
          <w:bCs w:val="1"/>
          <w:color w:val="1f1f1f"/>
          <w:sz w:val="25"/>
          <w:szCs w:val="25"/>
          <w:rtl w:val="0"/>
        </w:rPr>
        <w:t xml:space="preserve">5.2 Tools and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Python (pandas, numpy) — Data cleaning, merging, and statistical computation.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Matplotlib — Visualization and chart generation.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Microsoft Excel — Cross-verification and pivot-based summary checks.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Scikit-learn — Predictive modeling (Week 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4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Microsoft Word — Final report documentation and formatting.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pBdr>
          <w:bottom w:color="e8730a" w:space="4" w:sz="8" w:val="single"/>
        </w:pBdr>
        <w:spacing w:after="180" w:before="360" w:lineRule="auto"/>
        <w:rPr/>
      </w:pPr>
      <w:r w:rsidDel="00000000" w:rsidR="00000000" w:rsidRPr="00000000">
        <w:rPr>
          <w:b w:val="1"/>
          <w:bCs w:val="1"/>
          <w:color w:val="e8730a"/>
          <w:sz w:val="30"/>
          <w:szCs w:val="30"/>
          <w:rtl w:val="0"/>
        </w:rPr>
        <w:t xml:space="preserve">6. References / Data 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80" w:lineRule="auto"/>
        <w:ind w:left="4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DigiLocker Registered Users (State/UT-wise) —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https://data.gov.in/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  (Open Government Data (OGD) Platform India — based on Rajya Sabha Session 265, Unstarred Question No. 543)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80" w:lineRule="auto"/>
        <w:ind w:left="44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Common Service Centres — State-wise Active CSCs (June 2026) —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https://csc.gov.in/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  (Official portal, CSC e-Governance Services India Ltd., MeitY, Government of India)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pBdr>
          <w:bottom w:color="e8730a" w:space="4" w:sz="8" w:val="single"/>
        </w:pBdr>
        <w:spacing w:after="180" w:before="360" w:lineRule="auto"/>
        <w:rPr/>
      </w:pPr>
      <w:r w:rsidDel="00000000" w:rsidR="00000000" w:rsidRPr="00000000">
        <w:rPr>
          <w:b w:val="1"/>
          <w:bCs w:val="1"/>
          <w:color w:val="e8730a"/>
          <w:sz w:val="30"/>
          <w:szCs w:val="30"/>
          <w:rtl w:val="0"/>
        </w:rPr>
        <w:t xml:space="preserve">7.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="300" w:lineRule="auto"/>
        <w:rPr/>
      </w:pPr>
      <w:r w:rsidDel="00000000" w:rsidR="00000000" w:rsidRPr="00000000">
        <w:rPr>
          <w:color w:val="1f1f1f"/>
          <w:sz w:val="22"/>
          <w:szCs w:val="22"/>
          <w:rtl w:val="0"/>
        </w:rPr>
        <w:t xml:space="preserve">This strategic plan combines the DigiLocker and CSC datasets into a unified analytical framework, covering both the adoption and infrastructure dimensions of e-governance digital services. The identified KPIs, proposed methodology, and 6-week timeline provide a clear roadmap for all subsequent tasks (data cleaning, EDA, statistical analysis, predictive modeling, and final reporting), using only publicly available data with no dependency on any internal/proprietary source.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00" w:top="10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40" w:hanging="260"/>
      </w:pPr>
      <w:rPr/>
    </w:lvl>
    <w:lvl w:ilvl="1">
      <w:start w:val="1"/>
      <w:numFmt w:val="bullet"/>
      <w:lvlText w:val="◦"/>
      <w:lvlJc w:val="left"/>
      <w:pPr>
        <w:ind w:left="800" w:hanging="2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sc.gov.in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data.gov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