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b w:val="1"/>
          <w:bCs w:val="1"/>
          <w:color w:val="595959"/>
          <w:sz w:val="24"/>
          <w:szCs w:val="24"/>
          <w:rtl w:val="0"/>
        </w:rPr>
        <w:t xml:space="preserve">YUVA INTERN — NSDC</w:t>
      </w:r>
      <w:r w:rsidDel="00000000" w:rsidR="00000000" w:rsidRPr="00000000">
        <w:rPr>
          <w:rtl w:val="0"/>
        </w:rPr>
      </w:r>
    </w:p>
    <w:p w:rsidR="00000000" w:rsidDel="00000000" w:rsidP="00000000" w:rsidRDefault="00000000" w:rsidRPr="00000000" w14:paraId="00000002">
      <w:pPr>
        <w:spacing w:after="300" w:before="60" w:lineRule="auto"/>
        <w:jc w:val="center"/>
        <w:rPr/>
      </w:pPr>
      <w:r w:rsidDel="00000000" w:rsidR="00000000" w:rsidRPr="00000000">
        <w:rPr>
          <w:color w:val="595959"/>
          <w:sz w:val="22"/>
          <w:szCs w:val="22"/>
          <w:rtl w:val="0"/>
        </w:rPr>
        <w:t xml:space="preserve">Virtual Data Analysis Intern — E-Governance &amp; Digital Services</w:t>
      </w: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b w:val="1"/>
          <w:bCs w:val="1"/>
          <w:color w:val="e8730a"/>
          <w:sz w:val="28"/>
          <w:szCs w:val="28"/>
          <w:rtl w:val="0"/>
        </w:rPr>
        <w:t xml:space="preserve">Week 6 Task — Final Report</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color w:val="1f1f1f"/>
          <w:sz w:val="30"/>
          <w:szCs w:val="30"/>
          <w:rtl w:val="0"/>
        </w:rPr>
        <w:t xml:space="preserve">Comprehensive Evaluation and Reporting on Digital Transformation Insights</w:t>
      </w: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i w:val="1"/>
          <w:iCs w:val="1"/>
          <w:color w:val="595959"/>
          <w:sz w:val="22"/>
          <w:szCs w:val="22"/>
          <w:rtl w:val="0"/>
        </w:rPr>
        <w:t xml:space="preserve">Duration: 31-Jul-2026 to 11-Sep-2026 (6 Weeks)</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color w:val="1f1f1f"/>
          <w:sz w:val="22"/>
          <w:szCs w:val="22"/>
          <w:rtl w:val="0"/>
        </w:rPr>
        <w:t xml:space="preserve">Prepared by: Chirag Chhabra  |  Rajasthan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1. Overview and Summary</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color w:val="1f1f1f"/>
          <w:sz w:val="22"/>
          <w:szCs w:val="22"/>
          <w:rtl w:val="0"/>
        </w:rPr>
        <w:t xml:space="preserve">This final report synthesizes six weeks of analytical work on digital transformation within India's e-governance ecosystem, built entirely around one consistent, real, publicly available dataset: the merger of DigiLocker registered users (state/UT-wise, from the Open Government Data Platform India) and Common Service Centres (CSC) infrastructure data (state-wise active CSCs, June 2026, from the official CSC portal), covering 36 states/UTs.</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color w:val="1f1f1f"/>
          <w:sz w:val="22"/>
          <w:szCs w:val="22"/>
          <w:rtl w:val="0"/>
        </w:rPr>
        <w:t xml:space="preserve">The objective throughout was to understand how digital service adoption (demand) relates to physical service delivery infrastructure (supply), and to translate that understanding into statistically grounded, policy-relevant recommendations.</w:t>
      </w:r>
      <w:r w:rsidDel="00000000" w:rsidR="00000000" w:rsidRPr="00000000">
        <w:rPr>
          <w:rtl w:val="0"/>
        </w:rPr>
      </w:r>
    </w:p>
    <w:p w:rsidR="00000000" w:rsidDel="00000000" w:rsidP="00000000" w:rsidRDefault="00000000" w:rsidRPr="00000000" w14:paraId="0000000B">
      <w:pPr>
        <w:pStyle w:val="Heading2"/>
        <w:spacing w:after="140" w:before="260" w:lineRule="auto"/>
        <w:rPr/>
      </w:pPr>
      <w:r w:rsidDel="00000000" w:rsidR="00000000" w:rsidRPr="00000000">
        <w:rPr>
          <w:b w:val="1"/>
          <w:bCs w:val="1"/>
          <w:color w:val="1f1f1f"/>
          <w:sz w:val="25"/>
          <w:szCs w:val="25"/>
          <w:rtl w:val="0"/>
        </w:rPr>
        <w:t xml:space="preserve">1.1 Summary of Processes and Methods Across Weeks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700"/>
        <w:gridCol w:w="4350"/>
        <w:tblGridChange w:id="0">
          <w:tblGrid>
            <w:gridCol w:w="1300"/>
            <w:gridCol w:w="3700"/>
            <w:gridCol w:w="4350"/>
          </w:tblGrid>
        </w:tblGridChange>
      </w:tblGrid>
      <w:tr>
        <w:trPr>
          <w:cantSplit w:val="0"/>
          <w:tblHeader w:val="1"/>
        </w:trPr>
        <w:tc>
          <w:tcPr>
            <w:shd w:fill="e8730a" w:val="clea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Week</w:t>
            </w:r>
            <w:r w:rsidDel="00000000" w:rsidR="00000000" w:rsidRPr="00000000">
              <w:rPr>
                <w:rtl w:val="0"/>
              </w:rPr>
            </w:r>
          </w:p>
        </w:tc>
        <w:tc>
          <w:tcPr>
            <w:shd w:fill="e8730a" w:val="clea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Focus</w:t>
            </w:r>
            <w:r w:rsidDel="00000000" w:rsidR="00000000" w:rsidRPr="00000000">
              <w:rPr>
                <w:rtl w:val="0"/>
              </w:rPr>
            </w:r>
          </w:p>
        </w:tc>
        <w:tc>
          <w:tcPr>
            <w:shd w:fill="e8730a" w:val="clea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Method / Output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b w:val="0"/>
                <w:bCs w:val="0"/>
                <w:color w:val="1f1f1f"/>
                <w:sz w:val="20"/>
                <w:szCs w:val="2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b w:val="0"/>
                <w:bCs w:val="0"/>
                <w:color w:val="1f1f1f"/>
                <w:sz w:val="20"/>
                <w:szCs w:val="20"/>
                <w:rtl w:val="0"/>
              </w:rPr>
              <w:t xml:space="preserve">Strategic Planning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b w:val="0"/>
                <w:bCs w:val="0"/>
                <w:color w:val="1f1f1f"/>
                <w:sz w:val="20"/>
                <w:szCs w:val="20"/>
                <w:rtl w:val="0"/>
              </w:rPr>
              <w:t xml:space="preserve">Identified data sources, KPIs, and a 6-week analytical framework.</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b w:val="0"/>
                <w:bCs w:val="0"/>
                <w:color w:val="1f1f1f"/>
                <w:sz w:val="20"/>
                <w:szCs w:val="2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0"/>
                <w:bCs w:val="0"/>
                <w:color w:val="1f1f1f"/>
                <w:sz w:val="20"/>
                <w:szCs w:val="20"/>
                <w:rtl w:val="0"/>
              </w:rPr>
              <w:t xml:space="preserve">Data Collection &amp; Cleaning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0"/>
                <w:bCs w:val="0"/>
                <w:color w:val="1f1f1f"/>
                <w:sz w:val="20"/>
                <w:szCs w:val="20"/>
                <w:rtl w:val="0"/>
              </w:rPr>
              <w:t xml:space="preserve">Sourced, extracted, and cleaned data; merged into a validated 36-state dataset.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0"/>
                <w:bCs w:val="0"/>
                <w:color w:val="1f1f1f"/>
                <w:sz w:val="20"/>
                <w:szCs w:val="2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0"/>
                <w:bCs w:val="0"/>
                <w:color w:val="1f1f1f"/>
                <w:sz w:val="20"/>
                <w:szCs w:val="20"/>
                <w:rtl w:val="0"/>
              </w:rPr>
              <w:t xml:space="preserve">Exploratory Data Analysis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0"/>
                <w:bCs w:val="0"/>
                <w:color w:val="1f1f1f"/>
                <w:sz w:val="20"/>
                <w:szCs w:val="20"/>
                <w:rtl w:val="0"/>
              </w:rPr>
              <w:t xml:space="preserve">4 visualizations; identified adoption-infrastructure patterns and hypotheses.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color w:val="1f1f1f"/>
                <w:sz w:val="20"/>
                <w:szCs w:val="2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0"/>
                <w:bCs w:val="0"/>
                <w:color w:val="1f1f1f"/>
                <w:sz w:val="20"/>
                <w:szCs w:val="20"/>
                <w:rtl w:val="0"/>
              </w:rPr>
              <w:t xml:space="preserve">Statistical Analysis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color w:val="1f1f1f"/>
                <w:sz w:val="20"/>
                <w:szCs w:val="20"/>
                <w:rtl w:val="0"/>
              </w:rPr>
              <w:t xml:space="preserve">Pearson correlation, linear regression, Welch's t-test on real metrics.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color w:val="1f1f1f"/>
                <w:sz w:val="20"/>
                <w:szCs w:val="2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color w:val="1f1f1f"/>
                <w:sz w:val="20"/>
                <w:szCs w:val="20"/>
                <w:rtl w:val="0"/>
              </w:rPr>
              <w:t xml:space="preserve">Predictive Modeling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color w:val="1f1f1f"/>
                <w:sz w:val="20"/>
                <w:szCs w:val="20"/>
                <w:rtl w:val="0"/>
              </w:rPr>
              <w:t xml:space="preserve">Multiple regression model; MAE/RMSE evaluation; demand scenario simulation.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color w:val="1f1f1f"/>
                <w:sz w:val="20"/>
                <w:szCs w:val="20"/>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0"/>
                <w:bCs w:val="0"/>
                <w:color w:val="1f1f1f"/>
                <w:sz w:val="20"/>
                <w:szCs w:val="20"/>
                <w:rtl w:val="0"/>
              </w:rPr>
              <w:t xml:space="preserve">Final Report (this document)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color w:val="1f1f1f"/>
                <w:sz w:val="20"/>
                <w:szCs w:val="20"/>
                <w:rtl w:val="0"/>
              </w:rPr>
              <w:t xml:space="preserve">Synthesis, critical analysis, and actionable recommendations.</w:t>
            </w:r>
            <w:r w:rsidDel="00000000" w:rsidR="00000000" w:rsidRPr="00000000">
              <w:rPr>
                <w:rtl w:val="0"/>
              </w:rPr>
            </w:r>
          </w:p>
        </w:tc>
      </w:tr>
    </w:tbl>
    <w:p w:rsidR="00000000" w:rsidDel="00000000" w:rsidP="00000000" w:rsidRDefault="00000000" w:rsidRPr="00000000" w14:paraId="00000021">
      <w:pPr>
        <w:spacing w:before="240" w:lineRule="auto"/>
        <w:rPr/>
      </w:pPr>
      <w:r w:rsidDel="00000000" w:rsidR="00000000" w:rsidRPr="00000000">
        <w:rPr>
          <w:rtl w:val="0"/>
        </w:rPr>
      </w:r>
    </w:p>
    <w:p w:rsidR="00000000" w:rsidDel="00000000" w:rsidP="00000000" w:rsidRDefault="00000000" w:rsidRPr="00000000" w14:paraId="00000022">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2. Critical Analysis</w:t>
      </w:r>
      <w:r w:rsidDel="00000000" w:rsidR="00000000" w:rsidRPr="00000000">
        <w:rPr>
          <w:rtl w:val="0"/>
        </w:rPr>
      </w:r>
    </w:p>
    <w:p w:rsidR="00000000" w:rsidDel="00000000" w:rsidP="00000000" w:rsidRDefault="00000000" w:rsidRPr="00000000" w14:paraId="00000023">
      <w:pPr>
        <w:pStyle w:val="Heading2"/>
        <w:spacing w:after="140" w:before="260" w:lineRule="auto"/>
        <w:rPr/>
      </w:pPr>
      <w:r w:rsidDel="00000000" w:rsidR="00000000" w:rsidRPr="00000000">
        <w:rPr>
          <w:b w:val="1"/>
          <w:bCs w:val="1"/>
          <w:color w:val="1f1f1f"/>
          <w:sz w:val="25"/>
          <w:szCs w:val="25"/>
          <w:rtl w:val="0"/>
        </w:rPr>
        <w:t xml:space="preserve">2.1 Strengths of the Methodology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Consistency: The same two authentic, verifiable government datasets were used across all six weeks, allowing findings to build cumulatively rather than starting fresh each week.</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Statistical rigor: Rather than relying on visual impressions alone, Week 4 formally tested relationships using correlation, regression, and hypothesis testing, all of which returned statistically significant results (p &lt; 0.05).</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Predictive validation: The Week 5 model was evaluated on a genuinely held-out test set, not just training data, giving an honest (if modest) measure of real-world predictive power (test R² = 0.599) rather than an inflated in-sample fit.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Transparency: Data limitations — such as Chandigarh and NCT of Delhi having zero Gram Panchayats — were explicitly documented rather than silently dropped or ignored.</w:t>
      </w:r>
      <w:r w:rsidDel="00000000" w:rsidR="00000000" w:rsidRPr="00000000">
        <w:rPr>
          <w:rtl w:val="0"/>
        </w:rPr>
      </w:r>
    </w:p>
    <w:p w:rsidR="00000000" w:rsidDel="00000000" w:rsidP="00000000" w:rsidRDefault="00000000" w:rsidRPr="00000000" w14:paraId="00000028">
      <w:pPr>
        <w:pStyle w:val="Heading2"/>
        <w:spacing w:after="140" w:before="260" w:lineRule="auto"/>
        <w:rPr/>
      </w:pPr>
      <w:r w:rsidDel="00000000" w:rsidR="00000000" w:rsidRPr="00000000">
        <w:rPr>
          <w:b w:val="1"/>
          <w:bCs w:val="1"/>
          <w:color w:val="1f1f1f"/>
          <w:sz w:val="25"/>
          <w:szCs w:val="25"/>
          <w:rtl w:val="0"/>
        </w:rPr>
        <w:t xml:space="preserve">2.2 Weaknesses and Challenges Faced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Small sample size: With only 36 states/UTs, both the statistical tests and the predictive model have limited statistical power; results should be read as directional trends, not precise, generalizable laws.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Cross-sectional, not longitudinal, data: Both datasets represent a single time snapshot (mid-2026), so the analysis captures association, not causation, and cannot directly measure trends over time — a genuine 'forecast' in the time-series sense was not possible with the available data.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Omitted variables: Factors known to influence digital adoption — population, literacy rate, internet/smartphone penetration, and state-level digital literacy campaigns — were not available in the two source datasets, and are a likely explanation for the ~30–37% of adoption variance the models could not explain.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Comparison across analysis stages: The EDA (Week 3) surfaced the infrastructure-adoption relationship visually; Week 4 confirmed it was statistically significant, not a visual coincidence; Week 5 showed that while the relationship holds directionally, it is not strong enough alone to build a highly precise forecasting tool — each stage appropriately tempered the confidence of the one before it.</w:t>
      </w:r>
      <w:r w:rsidDel="00000000" w:rsidR="00000000" w:rsidRPr="00000000">
        <w:rPr>
          <w:rtl w:val="0"/>
        </w:rPr>
      </w:r>
    </w:p>
    <w:p w:rsidR="00000000" w:rsidDel="00000000" w:rsidP="00000000" w:rsidRDefault="00000000" w:rsidRPr="00000000" w14:paraId="0000002D">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3. Insight Generation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Insight 1 — Infrastructure and adoption move together: States with more functional CSCs consistently show higher DigiLocker adoption (r = 0.835, R² = 0.697), reinforcing CSCs as a plausible on-ramp to digital government services, not just a document-access point.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Insight 2 — Equity matters, but less than scale: Gram Panchayat coverage equity is also significantly associated with adoption (r = 0.418, t = 3.24, p = 0.004), but its effect is weaker than raw infrastructure scale — meaning equitable distribution and total capacity are both necessary, but not interchangeable, policy levers.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Insight 3 — Scale effects dominate raw numbers: Large states (Uttar Pradesh, Maharashtra) lead both metrics mainly due to population size; smaller states can still be high-performing on a per-capita or per-GP basis even with lower absolute numbers, which is masked if only raw totals are examined — a normalization step is recommended for any future iteration of this analysis.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Insight 4 — Predictive power is real but bounded: The demand-forecasting model (using CSC Total and GP Coverage Ratio as predictors) outperforms a naive baseline by a meaningful margin on error metrics, confirming genuine predictive signal in infrastructure data — but a test R² of 0.599 means it should support, not replace, human policy judgement.</w:t>
      </w:r>
      <w:r w:rsidDel="00000000" w:rsidR="00000000" w:rsidRPr="00000000">
        <w:rPr>
          <w:rtl w:val="0"/>
        </w:rPr>
      </w:r>
    </w:p>
    <w:p w:rsidR="00000000" w:rsidDel="00000000" w:rsidP="00000000" w:rsidRDefault="00000000" w:rsidRPr="00000000" w14:paraId="00000032">
      <w:pPr>
        <w:spacing w:after="160" w:line="300" w:lineRule="auto"/>
        <w:rPr/>
      </w:pPr>
      <w:r w:rsidDel="00000000" w:rsidR="00000000" w:rsidRPr="00000000">
        <w:rPr>
          <w:color w:val="1f1f1f"/>
          <w:sz w:val="22"/>
          <w:szCs w:val="22"/>
          <w:rtl w:val="0"/>
        </w:rPr>
        <w:t xml:space="preserve">Collectively, these insights suggest that CSC infrastructure functions as both a driver and a diagnostic indicator of digital service adoption — states lagging in DigiLocker adoption despite adequate population size are strong candidates for CSC investment, GP-coverage equity improvement, or investigation into other adoption barriers such as connectivity or awareness.</w:t>
      </w:r>
      <w:r w:rsidDel="00000000" w:rsidR="00000000" w:rsidRPr="00000000">
        <w:rPr>
          <w:rtl w:val="0"/>
        </w:rPr>
      </w:r>
    </w:p>
    <w:p w:rsidR="00000000" w:rsidDel="00000000" w:rsidP="00000000" w:rsidRDefault="00000000" w:rsidRPr="00000000" w14:paraId="00000033">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4. Recommendations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Prioritize CSC expansion in low-adoption, low-infrastructure states: Using the Week 5 model, policy makers can rank states by projected adoption gain per additional CSC, directing limited infrastructure budgets toward the highest-impact locations first.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Track Gram Panchayat-level equity, not just state totals: Since equity showed an independent, significant relationship with adoption, dashboards for policy makers should report GP coverage percentage alongside raw CSC counts, not as a replacement metric.</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Invest in complementary digital-readiness data collection: Future iterations of this analysis would benefit substantially from access to state-level internet penetration, smartphone ownership, and literacy data, which would likely explain much of the unexplained variance in the current model.</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Move toward longitudinal tracking: A single time-snapshot limits the analysis to associations; if DigiLocker and CSC data were tracked quarterly or annually, true time-series forecasting (e.g., ARIMA or panel regression) could replace the current cross-sectional proxy model, enabling genuine trend forecasting rather than a single-period estimate.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Use the model as a planning aid, not an autopilot: Given the moderate test R² and the small sample size, the predictive model should inform discussion and prioritization, with final resource-allocation decisions still validated against local, on-the-ground context that the dataset cannot capture.</w:t>
      </w:r>
      <w:r w:rsidDel="00000000" w:rsidR="00000000" w:rsidRPr="00000000">
        <w:rPr>
          <w:rtl w:val="0"/>
        </w:rPr>
      </w:r>
    </w:p>
    <w:p w:rsidR="00000000" w:rsidDel="00000000" w:rsidP="00000000" w:rsidRDefault="00000000" w:rsidRPr="00000000" w14:paraId="00000039">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5. References / Data Sources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DigiLocker Registered Users (State/UT-wise) — </w:t>
      </w:r>
      <w:hyperlink r:id="rId6">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https://data.gov.in/</w:t>
        </w:r>
      </w:hyperlink>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  (Open Government Data (OGD) Platform India — based on Rajya Sabha Session 265, Unstarred Question No. 543)</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Common Service Centres — State-wise Active CSCs (June 2026) — </w:t>
      </w:r>
      <w:hyperlink r:id="rId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https://csc.gov.in/</w:t>
        </w:r>
      </w:hyperlink>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  (Official portal, CSC e-Governance Services India Ltd., MeitY, Government of India)</w:t>
      </w:r>
      <w:r w:rsidDel="00000000" w:rsidR="00000000" w:rsidRPr="00000000">
        <w:rPr>
          <w:rtl w:val="0"/>
        </w:rPr>
      </w:r>
    </w:p>
    <w:p w:rsidR="00000000" w:rsidDel="00000000" w:rsidP="00000000" w:rsidRDefault="00000000" w:rsidRPr="00000000" w14:paraId="0000003C">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6. Conclusion</w:t>
      </w:r>
      <w:r w:rsidDel="00000000" w:rsidR="00000000" w:rsidRPr="00000000">
        <w:rPr>
          <w:rtl w:val="0"/>
        </w:rPr>
      </w:r>
    </w:p>
    <w:p w:rsidR="00000000" w:rsidDel="00000000" w:rsidP="00000000" w:rsidRDefault="00000000" w:rsidRPr="00000000" w14:paraId="0000003D">
      <w:pPr>
        <w:spacing w:after="160" w:line="300" w:lineRule="auto"/>
        <w:rPr/>
      </w:pPr>
      <w:r w:rsidDel="00000000" w:rsidR="00000000" w:rsidRPr="00000000">
        <w:rPr>
          <w:color w:val="1f1f1f"/>
          <w:sz w:val="22"/>
          <w:szCs w:val="22"/>
          <w:rtl w:val="0"/>
        </w:rPr>
        <w:t xml:space="preserve">Across six weeks, this internship progressed from strategic planning through data collection, exploratory analysis, formal statistical testing, and predictive modeling, all grounded in one consistent, real, publicly verifiable dataset. The overall conclusion is that digital service adoption in India's e-governance ecosystem is meaningfully — but not exclusively — driven by physical service infrastructure, with both the scale and equitable distribution of Common Service Centres showing statistically significant, policy-actionable relationships with DigiLocker adoption. The recommendations above provide a concrete, evidence-based starting point for policy makers and digital service managers seeking to close remaining adoption gaps across Indian states and Union Territories.</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gov.in/" TargetMode="External"/><Relationship Id="rId7" Type="http://schemas.openxmlformats.org/officeDocument/2006/relationships/hyperlink" Target="https://csc.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