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8A6A"/>
          <w:sz w:val="56"/>
        </w:rPr>
        <w:t>CHIRAX</w:t>
      </w:r>
    </w:p>
    <w:p>
      <w:pPr>
        <w:jc w:val="center"/>
      </w:pPr>
      <w:r>
        <w:rPr>
          <w:b/>
          <w:color w:val="17342D"/>
          <w:sz w:val="48"/>
        </w:rPr>
        <w:t>Market Data Platform</w:t>
      </w:r>
    </w:p>
    <w:p>
      <w:pPr>
        <w:jc w:val="center"/>
      </w:pPr>
      <w:r>
        <w:rPr>
          <w:color w:val="667085"/>
          <w:sz w:val="30"/>
        </w:rPr>
        <w:t>Product &amp; Technical Specification</w:t>
      </w:r>
    </w:p>
    <w:p>
      <w:pPr>
        <w:jc w:val="center"/>
      </w:pPr>
      <w:r>
        <w:rPr>
          <w:b/>
          <w:color w:val="0F8A6A"/>
          <w:sz w:val="24"/>
        </w:rPr>
        <w:t>Version 1.0</w:t>
      </w:r>
    </w:p>
    <w:p/>
    <w:tbl>
      <w:tblPr>
        <w:tblW w:type="auto" w:w="0"/>
        <w:jc w:val="center"/>
        <w:tblLook w:firstColumn="1" w:firstRow="1" w:lastColumn="0" w:lastRow="0" w:noHBand="0" w:noVBand="1" w:val="04A0"/>
      </w:tblPr>
      <w:tblGrid>
        <w:gridCol w:w="10080"/>
      </w:tblGrid>
      <w:tr>
        <w:tc>
          <w:tcPr>
            <w:tcW w:type="dxa" w:w="10080"/>
            <w:shd w:fill="EAF7F2"/>
            <w:tcBorders>
              <w:top w:val="single" w:sz="8" w:color="0F8A6A"/>
              <w:left w:val="single" w:sz="8" w:color="0F8A6A"/>
              <w:bottom w:val="single" w:sz="8" w:color="0F8A6A"/>
              <w:right w:val="single" w:sz="8" w:color="0F8A6A"/>
            </w:tcBorders>
          </w:tcPr>
          <w:p>
            <w:r>
              <w:rPr>
                <w:b/>
                <w:color w:val="0F8A6A"/>
              </w:rPr>
              <w:t>Source of Truth</w:t>
              <w:br/>
            </w:r>
            <w:r>
              <w:t>This single document is the authoritative specification for the separate CHIRAX market-data repository. It intentionally combines product requirements, data architecture, ClickHouse design, historical import, live collection, continuity, security, observability, deployment, and implementation roadmap.</w:t>
            </w:r>
          </w:p>
        </w:tc>
      </w:tr>
    </w:tbl>
    <w:p/>
    <w:p>
      <w:pPr>
        <w:jc w:val="center"/>
      </w:pPr>
      <w:r>
        <w:rPr>
          <w:b/>
          <w:color w:val="17342D"/>
          <w:sz w:val="24"/>
        </w:rPr>
        <w:t>V1 Instruments: BTCUSD • ETHUSD • SOLUSD • PAXG</w:t>
      </w:r>
    </w:p>
    <w:p>
      <w:r>
        <w:br w:type="page"/>
      </w:r>
    </w:p>
    <w:p>
      <w:pPr>
        <w:pStyle w:val="Heading1"/>
      </w:pPr>
      <w:r>
        <w:t>1. Purpose &amp; Scope</w:t>
      </w:r>
    </w:p>
    <w:p>
      <w:r>
        <w:t>The CHIRAX Market Data Platform is a dedicated data-engineering subsystem that stores and serves high-volume market microstructure data for CHIRAX. It is separated from the main CHIRAX application so that tick ingestion, historical storage, reconciliation, and analytical workloads can evolve independently from frontend, auth, strategy management, journaling, and application APIs.</w:t>
      </w:r>
    </w:p>
    <w:p>
      <w:pPr>
        <w:pStyle w:val="ListBullet"/>
      </w:pPr>
      <w:r>
        <w:t>Primary exchange for V1: Delta Exchange India.</w:t>
      </w:r>
    </w:p>
    <w:p>
      <w:pPr>
        <w:pStyle w:val="ListBullet"/>
      </w:pPr>
      <w:r>
        <w:t>Primary instruments for V1: BTCUSD, ETHUSD, SOLUSD, and PAXG.</w:t>
      </w:r>
    </w:p>
    <w:p>
      <w:pPr>
        <w:pStyle w:val="ListBullet"/>
      </w:pPr>
      <w:r>
        <w:t>Primary high-fidelity data source: official downloadable tick-by-tick CSV files plus the public live trades WebSocket.</w:t>
      </w:r>
    </w:p>
    <w:p>
      <w:pPr>
        <w:pStyle w:val="ListBullet"/>
      </w:pPr>
      <w:r>
        <w:t>Primary tick datastore: ClickHouse.</w:t>
      </w:r>
    </w:p>
    <w:p>
      <w:pPr>
        <w:pStyle w:val="ListBullet"/>
      </w:pPr>
      <w:r>
        <w:t>Primary archival/export format: Parquet where useful for backup, migration, or cold storage.</w:t>
      </w:r>
    </w:p>
    <w:p>
      <w:pPr>
        <w:pStyle w:val="ListBullet"/>
      </w:pPr>
      <w:r>
        <w:t>The main CHIRAX platform remains a separate repository and deployment.</w:t>
      </w:r>
    </w:p>
    <w:p>
      <w:pPr>
        <w:pStyle w:val="Heading1"/>
      </w:pPr>
      <w:r>
        <w:t>2. Repository Boundary</w:t>
      </w:r>
    </w:p>
    <w:p>
      <w:r>
        <w:t>Recommended repository name:</w:t>
      </w:r>
    </w:p>
    <w:p>
      <w:pPr>
        <w:pStyle w:val="CodeBlock"/>
      </w:pPr>
      <w:r>
        <w:rPr>
          <w:rFonts w:ascii="Consolas" w:hAnsi="Consolas"/>
        </w:rPr>
        <w:t>chirax-market-data</w:t>
      </w:r>
    </w:p>
    <w:p>
      <w:r>
        <w:t>This repository owns only market-data infrastructure and high-volume analytical data responsibilities.</w:t>
      </w:r>
    </w:p>
    <w:p>
      <w:pPr>
        <w:pStyle w:val="ListBullet"/>
      </w:pPr>
      <w:r>
        <w:t>Historical Delta CSV importer.</w:t>
      </w:r>
    </w:p>
    <w:p>
      <w:pPr>
        <w:pStyle w:val="ListBullet"/>
      </w:pPr>
      <w:r>
        <w:t>Delta live trades WebSocket collector.</w:t>
      </w:r>
    </w:p>
    <w:p>
      <w:pPr>
        <w:pStyle w:val="ListBullet"/>
      </w:pPr>
      <w:r>
        <w:t>Canonical tick normalization.</w:t>
      </w:r>
    </w:p>
    <w:p>
      <w:pPr>
        <w:pStyle w:val="ListBullet"/>
      </w:pPr>
      <w:r>
        <w:t>ClickHouse schema, migrations, repositories, and data-access components.</w:t>
      </w:r>
    </w:p>
    <w:p>
      <w:pPr>
        <w:pStyle w:val="ListBullet"/>
      </w:pPr>
      <w:r>
        <w:t>Coverage, gap detection, reconciliation, and verification.</w:t>
      </w:r>
    </w:p>
    <w:p>
      <w:pPr>
        <w:pStyle w:val="ListBullet"/>
      </w:pPr>
      <w:r>
        <w:t>Derived tick aggregates for VP, VWAP, CVD, footprint, and research.</w:t>
      </w:r>
    </w:p>
    <w:p>
      <w:pPr>
        <w:pStyle w:val="ListBullet"/>
      </w:pPr>
      <w:r>
        <w:t>Health checks, telemetry, benchmark scripts, and deployment assets.</w:t>
      </w:r>
    </w:p>
    <w:p>
      <w:r>
        <w:t>It must not contain CHIRAX frontend pages, general auth flows, strategy library UI, journaling UI, or other unrelated app features.</w:t>
      </w:r>
    </w:p>
    <w:p>
      <w:pPr>
        <w:pStyle w:val="Heading1"/>
      </w:pPr>
      <w:r>
        <w:t>3. High-Level Architecture</w:t>
      </w:r>
    </w:p>
    <w:p>
      <w:pPr>
        <w:pStyle w:val="CodeBlock"/>
      </w:pPr>
      <w:r>
        <w:rPr>
          <w:rFonts w:ascii="Consolas" w:hAnsi="Consolas"/>
        </w:rPr>
        <w:t xml:space="preserve">                     DELTA EXCHANGE INDIA</w:t>
        <w:br/>
        <w:t xml:space="preserve">                              |</w:t>
        <w:br/>
        <w:t xml:space="preserve">               +--------------+--------------+</w:t>
        <w:br/>
        <w:t xml:space="preserve">               |                             |</w:t>
        <w:br/>
        <w:t xml:space="preserve">     Historical monthly CSV          Live trades WebSocket</w:t>
        <w:br/>
        <w:t xml:space="preserve">               |                             |</w:t>
        <w:br/>
        <w:t xml:space="preserve">               v                             v</w:t>
        <w:br/>
        <w:t xml:space="preserve">         Historical importer           Live collector</w:t>
        <w:br/>
        <w:t xml:space="preserve">               |                             |</w:t>
        <w:br/>
        <w:t xml:space="preserve">               +-------------+---------------+</w:t>
        <w:br/>
        <w:t xml:space="preserve">                             |</w:t>
        <w:br/>
        <w:t xml:space="preserve">                             v</w:t>
        <w:br/>
        <w:t xml:space="preserve">                      Tick normalizer</w:t>
        <w:br/>
        <w:t xml:space="preserve">                             |</w:t>
        <w:br/>
        <w:t xml:space="preserve">                 +-----------+-----------+</w:t>
        <w:br/>
        <w:t xml:space="preserve">                 |                       |</w:t>
        <w:br/>
        <w:t xml:space="preserve">                 v                       v</w:t>
        <w:br/>
        <w:t xml:space="preserve">            ClickHouse             Live in-memory path</w:t>
        <w:br/>
        <w:t xml:space="preserve">          durable history          VP/VWAP/CVD/etc.</w:t>
        <w:br/>
        <w:t xml:space="preserve">                 |                       |</w:t>
        <w:br/>
        <w:t xml:space="preserve">                 v                       v</w:t>
        <w:br/>
        <w:t xml:space="preserve">      Research / Replay / Backtest   Strategy / Automation</w:t>
        <w:br/>
        <w:br/>
        <w:t>Main CHIRAX FE/BE remains on its own deployment.</w:t>
        <w:br/>
      </w:r>
    </w:p>
    <w:tbl>
      <w:tblPr>
        <w:tblW w:type="auto" w:w="0"/>
        <w:jc w:val="center"/>
        <w:tblLook w:firstColumn="1" w:firstRow="1" w:lastColumn="0" w:lastRow="0" w:noHBand="0" w:noVBand="1" w:val="04A0"/>
      </w:tblPr>
      <w:tblGrid>
        <w:gridCol w:w="10080"/>
      </w:tblGrid>
      <w:tr>
        <w:tc>
          <w:tcPr>
            <w:tcW w:type="dxa" w:w="10080"/>
            <w:shd w:fill="EAF7F2"/>
            <w:tcBorders>
              <w:top w:val="single" w:sz="8" w:color="0F8A6A"/>
              <w:left w:val="single" w:sz="8" w:color="0F8A6A"/>
              <w:bottom w:val="single" w:sz="8" w:color="0F8A6A"/>
              <w:right w:val="single" w:sz="8" w:color="0F8A6A"/>
            </w:tcBorders>
          </w:tcPr>
          <w:p>
            <w:r>
              <w:rPr>
                <w:b/>
                <w:color w:val="0F8A6A"/>
              </w:rPr>
              <w:t>Critical Live Rule</w:t>
              <w:br/>
            </w:r>
            <w:r>
              <w:t>ClickHouse is NOT in the critical live automation path. A live tick must be available to the strategy/risk/automation engine directly from the CHIRAX market-data stream. Persistence into ClickHouse happens in parallel through buffered inserts.</w:t>
            </w:r>
          </w:p>
        </w:tc>
      </w:tr>
    </w:tbl>
    <w:p/>
    <w:p>
      <w:pPr>
        <w:pStyle w:val="Heading1"/>
      </w:pPr>
      <w:r>
        <w:t>4. Core Requirements</w:t>
      </w:r>
    </w:p>
    <w:p>
      <w:pPr>
        <w:pStyle w:val="ListBullet"/>
      </w:pPr>
      <w:r>
        <w:t>Import official Delta monthly tick CSV files without loss of precision.</w:t>
      </w:r>
    </w:p>
    <w:p>
      <w:pPr>
        <w:pStyle w:val="ListBullet"/>
      </w:pPr>
      <w:r>
        <w:t>Collect live trades 24/7 through the Delta public WebSocket.</w:t>
      </w:r>
    </w:p>
    <w:p>
      <w:pPr>
        <w:pStyle w:val="ListBullet"/>
      </w:pPr>
      <w:r>
        <w:t>Preserve microsecond-level timestamps where provided.</w:t>
      </w:r>
    </w:p>
    <w:p>
      <w:pPr>
        <w:pStyle w:val="ListBullet"/>
      </w:pPr>
      <w:r>
        <w:t>Preserve buyer role and enough fields to derive aggressive buy/sell classification.</w:t>
      </w:r>
    </w:p>
    <w:p>
      <w:pPr>
        <w:pStyle w:val="ListBullet"/>
      </w:pPr>
      <w:r>
        <w:t>Use one normalized tick model for both historical CSV and live WebSocket data.</w:t>
      </w:r>
    </w:p>
    <w:p>
      <w:pPr>
        <w:pStyle w:val="ListBullet"/>
      </w:pPr>
      <w:r>
        <w:t>Persist live ticks continuously into ClickHouse in buffered batches.</w:t>
      </w:r>
    </w:p>
    <w:p>
      <w:pPr>
        <w:pStyle w:val="ListBullet"/>
      </w:pPr>
      <w:r>
        <w:t>Detect disconnects and potential data gaps instead of silently assuming continuity.</w:t>
      </w:r>
    </w:p>
    <w:p>
      <w:pPr>
        <w:pStyle w:val="ListBullet"/>
      </w:pPr>
      <w:r>
        <w:t>Support historical/live overlap validation and later official-month reconciliation.</w:t>
      </w:r>
    </w:p>
    <w:p>
      <w:pPr>
        <w:pStyle w:val="ListBullet"/>
      </w:pPr>
      <w:r>
        <w:t>Make historical imports idempotent.</w:t>
      </w:r>
    </w:p>
    <w:p>
      <w:pPr>
        <w:pStyle w:val="ListBullet"/>
      </w:pPr>
      <w:r>
        <w:t>Expose reliable chronological tick streams for backtesting and replay.</w:t>
      </w:r>
    </w:p>
    <w:p>
      <w:pPr>
        <w:pStyle w:val="ListBullet"/>
      </w:pPr>
      <w:r>
        <w:t>Support fast time-range and price-level aggregation for VP, VWAP, CVD, footprint, and research.</w:t>
      </w:r>
    </w:p>
    <w:p>
      <w:pPr>
        <w:pStyle w:val="ListBullet"/>
      </w:pPr>
      <w:r>
        <w:t>Keep data-quality and provenance metadata.</w:t>
      </w:r>
    </w:p>
    <w:p>
      <w:pPr>
        <w:pStyle w:val="Heading1"/>
      </w:pPr>
      <w:r>
        <w:t>5. Data Sources</w:t>
      </w:r>
    </w:p>
    <w:p>
      <w:pPr>
        <w:pStyle w:val="Heading2"/>
      </w:pPr>
      <w:r>
        <w:t>5.1 Historical Tick Files</w:t>
      </w:r>
    </w:p>
    <w:p>
      <w:r>
        <w:t>Delta monthly downloadable CSV files are the authoritative historical bootstrap/reconciliation source for V1.</w:t>
      </w:r>
    </w:p>
    <w:p>
      <w:pPr>
        <w:pStyle w:val="CodeBlock"/>
      </w:pPr>
      <w:r>
        <w:rPr>
          <w:rFonts w:ascii="Consolas" w:hAnsi="Consolas"/>
        </w:rPr>
        <w:t>product_symbol,price,size,timestamp,buyer_role</w:t>
        <w:br/>
        <w:t>BTCUSD,62865.5,13.0,2026-08-01 00:00:00.241134,maker</w:t>
        <w:br/>
        <w:t>...</w:t>
        <w:br/>
      </w:r>
    </w:p>
    <w:p>
      <w:pPr>
        <w:pStyle w:val="Heading2"/>
      </w:pPr>
      <w:r>
        <w:t>5.2 Live Trades WebSocket</w:t>
      </w:r>
    </w:p>
    <w:p>
      <w:r>
        <w:t>The live collector consumes Delta trade events continuously and normalizes them into the same internal tick model used by historical imports.</w:t>
      </w:r>
    </w:p>
    <w:p>
      <w:pPr>
        <w:pStyle w:val="Heading2"/>
      </w:pPr>
      <w:r>
        <w:t>5.3 Native Candles</w:t>
      </w:r>
    </w:p>
    <w:p>
      <w:r>
        <w:t>Native Delta candles remain part of the main CHIRAX market-data/charting architecture and are useful for strategy-timeframe bars, indicator calculations, and validation. They are not the canonical source for high-fidelity trade-level research.</w:t>
      </w:r>
    </w:p>
    <w:p>
      <w:pPr>
        <w:pStyle w:val="Heading1"/>
      </w:pPr>
      <w:r>
        <w:t>6. Canonical Tick Model</w:t>
      </w:r>
    </w:p>
    <w:tbl>
      <w:tblPr>
        <w:tblW w:type="auto" w:w="0"/>
        <w:jc w:val="center"/>
        <w:tblLook w:firstColumn="1" w:firstRow="1" w:lastColumn="0" w:lastRow="0" w:noHBand="0" w:noVBand="1" w:val="04A0"/>
      </w:tblPr>
      <w:tblGrid>
        <w:gridCol w:w="2520"/>
        <w:gridCol w:w="2520"/>
        <w:gridCol w:w="2520"/>
        <w:gridCol w:w="2520"/>
      </w:tblGrid>
      <w:tr>
        <w:tc>
          <w:tcPr>
            <w:tcW w:type="dxa" w:w="2520"/>
            <w:shd w:fill="0F8A6A"/>
            <w:tcBorders>
              <w:top w:val="single" w:sz="4" w:color="D0D5DD"/>
              <w:left w:val="single" w:sz="4" w:color="D0D5DD"/>
              <w:bottom w:val="single" w:sz="4" w:color="D0D5DD"/>
              <w:right w:val="single" w:sz="4" w:color="D0D5DD"/>
            </w:tcBorders>
          </w:tcPr>
          <w:p>
            <w:r>
              <w:rPr>
                <w:b/>
                <w:color w:val="FFFFFF"/>
              </w:rPr>
              <w:t>Field</w:t>
            </w:r>
          </w:p>
        </w:tc>
        <w:tc>
          <w:tcPr>
            <w:tcW w:type="dxa" w:w="2520"/>
            <w:shd w:fill="0F8A6A"/>
            <w:tcBorders>
              <w:top w:val="single" w:sz="4" w:color="D0D5DD"/>
              <w:left w:val="single" w:sz="4" w:color="D0D5DD"/>
              <w:bottom w:val="single" w:sz="4" w:color="D0D5DD"/>
              <w:right w:val="single" w:sz="4" w:color="D0D5DD"/>
            </w:tcBorders>
          </w:tcPr>
          <w:p>
            <w:r>
              <w:rPr>
                <w:b/>
                <w:color w:val="FFFFFF"/>
              </w:rPr>
              <w:t>Purpose</w:t>
            </w:r>
          </w:p>
        </w:tc>
        <w:tc>
          <w:tcPr>
            <w:tcW w:type="dxa" w:w="2520"/>
            <w:shd w:fill="0F8A6A"/>
            <w:tcBorders>
              <w:top w:val="single" w:sz="4" w:color="D0D5DD"/>
              <w:left w:val="single" w:sz="4" w:color="D0D5DD"/>
              <w:bottom w:val="single" w:sz="4" w:color="D0D5DD"/>
              <w:right w:val="single" w:sz="4" w:color="D0D5DD"/>
            </w:tcBorders>
          </w:tcPr>
          <w:p>
            <w:r>
              <w:rPr>
                <w:b/>
                <w:color w:val="FFFFFF"/>
              </w:rPr>
              <w:t>Suggested Type</w:t>
            </w:r>
          </w:p>
        </w:tc>
        <w:tc>
          <w:tcPr>
            <w:tcW w:type="dxa" w:w="2520"/>
            <w:shd w:fill="0F8A6A"/>
            <w:tcBorders>
              <w:top w:val="single" w:sz="4" w:color="D0D5DD"/>
              <w:left w:val="single" w:sz="4" w:color="D0D5DD"/>
              <w:bottom w:val="single" w:sz="4" w:color="D0D5DD"/>
              <w:right w:val="single" w:sz="4" w:color="D0D5DD"/>
            </w:tcBorders>
          </w:tcPr>
          <w:p>
            <w:r>
              <w:rPr>
                <w:b/>
                <w:color w:val="FFFFFF"/>
              </w:rPr>
              <w:t>Notes</w:t>
            </w:r>
          </w:p>
        </w:tc>
      </w:tr>
      <w:tr>
        <w:tc>
          <w:tcPr>
            <w:tcW w:type="dxa" w:w="2520"/>
            <w:vAlign w:val="center"/>
            <w:tcBorders>
              <w:top w:val="single" w:sz="4" w:color="D0D5DD"/>
              <w:left w:val="single" w:sz="4" w:color="D0D5DD"/>
              <w:bottom w:val="single" w:sz="4" w:color="D0D5DD"/>
              <w:right w:val="single" w:sz="4" w:color="D0D5DD"/>
            </w:tcBorders>
          </w:tcPr>
          <w:p>
            <w:r>
              <w:t>symbol</w:t>
            </w:r>
          </w:p>
        </w:tc>
        <w:tc>
          <w:tcPr>
            <w:tcW w:type="dxa" w:w="2520"/>
            <w:vAlign w:val="center"/>
            <w:tcBorders>
              <w:top w:val="single" w:sz="4" w:color="D0D5DD"/>
              <w:left w:val="single" w:sz="4" w:color="D0D5DD"/>
              <w:bottom w:val="single" w:sz="4" w:color="D0D5DD"/>
              <w:right w:val="single" w:sz="4" w:color="D0D5DD"/>
            </w:tcBorders>
          </w:tcPr>
          <w:p>
            <w:r>
              <w:t>Instrument</w:t>
            </w:r>
          </w:p>
        </w:tc>
        <w:tc>
          <w:tcPr>
            <w:tcW w:type="dxa" w:w="2520"/>
            <w:vAlign w:val="center"/>
            <w:tcBorders>
              <w:top w:val="single" w:sz="4" w:color="D0D5DD"/>
              <w:left w:val="single" w:sz="4" w:color="D0D5DD"/>
              <w:bottom w:val="single" w:sz="4" w:color="D0D5DD"/>
              <w:right w:val="single" w:sz="4" w:color="D0D5DD"/>
            </w:tcBorders>
          </w:tcPr>
          <w:p>
            <w:r>
              <w:t>LowCardinality(String) / Enum</w:t>
            </w:r>
          </w:p>
        </w:tc>
        <w:tc>
          <w:tcPr>
            <w:tcW w:type="dxa" w:w="2520"/>
            <w:vAlign w:val="center"/>
            <w:tcBorders>
              <w:top w:val="single" w:sz="4" w:color="D0D5DD"/>
              <w:left w:val="single" w:sz="4" w:color="D0D5DD"/>
              <w:bottom w:val="single" w:sz="4" w:color="D0D5DD"/>
              <w:right w:val="single" w:sz="4" w:color="D0D5DD"/>
            </w:tcBorders>
          </w:tcPr>
          <w:p>
            <w:r>
              <w:t>BTCUSD, ETHUSD, SOLUSD, PAXG</w:t>
            </w:r>
          </w:p>
        </w:tc>
      </w:tr>
      <w:tr>
        <w:tc>
          <w:tcPr>
            <w:tcW w:type="dxa" w:w="2520"/>
            <w:vAlign w:val="center"/>
            <w:tcBorders>
              <w:top w:val="single" w:sz="4" w:color="D0D5DD"/>
              <w:left w:val="single" w:sz="4" w:color="D0D5DD"/>
              <w:bottom w:val="single" w:sz="4" w:color="D0D5DD"/>
              <w:right w:val="single" w:sz="4" w:color="D0D5DD"/>
            </w:tcBorders>
          </w:tcPr>
          <w:p>
            <w:r>
              <w:t>timestamp</w:t>
            </w:r>
          </w:p>
        </w:tc>
        <w:tc>
          <w:tcPr>
            <w:tcW w:type="dxa" w:w="2520"/>
            <w:vAlign w:val="center"/>
            <w:tcBorders>
              <w:top w:val="single" w:sz="4" w:color="D0D5DD"/>
              <w:left w:val="single" w:sz="4" w:color="D0D5DD"/>
              <w:bottom w:val="single" w:sz="4" w:color="D0D5DD"/>
              <w:right w:val="single" w:sz="4" w:color="D0D5DD"/>
            </w:tcBorders>
          </w:tcPr>
          <w:p>
            <w:r>
              <w:t>Trade event time</w:t>
            </w:r>
          </w:p>
        </w:tc>
        <w:tc>
          <w:tcPr>
            <w:tcW w:type="dxa" w:w="2520"/>
            <w:vAlign w:val="center"/>
            <w:tcBorders>
              <w:top w:val="single" w:sz="4" w:color="D0D5DD"/>
              <w:left w:val="single" w:sz="4" w:color="D0D5DD"/>
              <w:bottom w:val="single" w:sz="4" w:color="D0D5DD"/>
              <w:right w:val="single" w:sz="4" w:color="D0D5DD"/>
            </w:tcBorders>
          </w:tcPr>
          <w:p>
            <w:r>
              <w:t>DateTime64(6, 'UTC')</w:t>
            </w:r>
          </w:p>
        </w:tc>
        <w:tc>
          <w:tcPr>
            <w:tcW w:type="dxa" w:w="2520"/>
            <w:vAlign w:val="center"/>
            <w:tcBorders>
              <w:top w:val="single" w:sz="4" w:color="D0D5DD"/>
              <w:left w:val="single" w:sz="4" w:color="D0D5DD"/>
              <w:bottom w:val="single" w:sz="4" w:color="D0D5DD"/>
              <w:right w:val="single" w:sz="4" w:color="D0D5DD"/>
            </w:tcBorders>
          </w:tcPr>
          <w:p>
            <w:r>
              <w:t>Preserve microseconds</w:t>
            </w:r>
          </w:p>
        </w:tc>
      </w:tr>
      <w:tr>
        <w:tc>
          <w:tcPr>
            <w:tcW w:type="dxa" w:w="2520"/>
            <w:vAlign w:val="center"/>
            <w:tcBorders>
              <w:top w:val="single" w:sz="4" w:color="D0D5DD"/>
              <w:left w:val="single" w:sz="4" w:color="D0D5DD"/>
              <w:bottom w:val="single" w:sz="4" w:color="D0D5DD"/>
              <w:right w:val="single" w:sz="4" w:color="D0D5DD"/>
            </w:tcBorders>
          </w:tcPr>
          <w:p>
            <w:r>
              <w:t>price</w:t>
            </w:r>
          </w:p>
        </w:tc>
        <w:tc>
          <w:tcPr>
            <w:tcW w:type="dxa" w:w="2520"/>
            <w:vAlign w:val="center"/>
            <w:tcBorders>
              <w:top w:val="single" w:sz="4" w:color="D0D5DD"/>
              <w:left w:val="single" w:sz="4" w:color="D0D5DD"/>
              <w:bottom w:val="single" w:sz="4" w:color="D0D5DD"/>
              <w:right w:val="single" w:sz="4" w:color="D0D5DD"/>
            </w:tcBorders>
          </w:tcPr>
          <w:p>
            <w:r>
              <w:t>Executed trade price</w:t>
            </w:r>
          </w:p>
        </w:tc>
        <w:tc>
          <w:tcPr>
            <w:tcW w:type="dxa" w:w="2520"/>
            <w:vAlign w:val="center"/>
            <w:tcBorders>
              <w:top w:val="single" w:sz="4" w:color="D0D5DD"/>
              <w:left w:val="single" w:sz="4" w:color="D0D5DD"/>
              <w:bottom w:val="single" w:sz="4" w:color="D0D5DD"/>
              <w:right w:val="single" w:sz="4" w:color="D0D5DD"/>
            </w:tcBorders>
          </w:tcPr>
          <w:p>
            <w:r>
              <w:t>Decimal / scaled numeric</w:t>
            </w:r>
          </w:p>
        </w:tc>
        <w:tc>
          <w:tcPr>
            <w:tcW w:type="dxa" w:w="2520"/>
            <w:vAlign w:val="center"/>
            <w:tcBorders>
              <w:top w:val="single" w:sz="4" w:color="D0D5DD"/>
              <w:left w:val="single" w:sz="4" w:color="D0D5DD"/>
              <w:bottom w:val="single" w:sz="4" w:color="D0D5DD"/>
              <w:right w:val="single" w:sz="4" w:color="D0D5DD"/>
            </w:tcBorders>
          </w:tcPr>
          <w:p>
            <w:r>
              <w:t>Exact final precision to be validated by product metadata</w:t>
            </w:r>
          </w:p>
        </w:tc>
      </w:tr>
      <w:tr>
        <w:tc>
          <w:tcPr>
            <w:tcW w:type="dxa" w:w="2520"/>
            <w:vAlign w:val="center"/>
            <w:tcBorders>
              <w:top w:val="single" w:sz="4" w:color="D0D5DD"/>
              <w:left w:val="single" w:sz="4" w:color="D0D5DD"/>
              <w:bottom w:val="single" w:sz="4" w:color="D0D5DD"/>
              <w:right w:val="single" w:sz="4" w:color="D0D5DD"/>
            </w:tcBorders>
          </w:tcPr>
          <w:p>
            <w:r>
              <w:t>size</w:t>
            </w:r>
          </w:p>
        </w:tc>
        <w:tc>
          <w:tcPr>
            <w:tcW w:type="dxa" w:w="2520"/>
            <w:vAlign w:val="center"/>
            <w:tcBorders>
              <w:top w:val="single" w:sz="4" w:color="D0D5DD"/>
              <w:left w:val="single" w:sz="4" w:color="D0D5DD"/>
              <w:bottom w:val="single" w:sz="4" w:color="D0D5DD"/>
              <w:right w:val="single" w:sz="4" w:color="D0D5DD"/>
            </w:tcBorders>
          </w:tcPr>
          <w:p>
            <w:r>
              <w:t>Executed trade size</w:t>
            </w:r>
          </w:p>
        </w:tc>
        <w:tc>
          <w:tcPr>
            <w:tcW w:type="dxa" w:w="2520"/>
            <w:vAlign w:val="center"/>
            <w:tcBorders>
              <w:top w:val="single" w:sz="4" w:color="D0D5DD"/>
              <w:left w:val="single" w:sz="4" w:color="D0D5DD"/>
              <w:bottom w:val="single" w:sz="4" w:color="D0D5DD"/>
              <w:right w:val="single" w:sz="4" w:color="D0D5DD"/>
            </w:tcBorders>
          </w:tcPr>
          <w:p>
            <w:r>
              <w:t>Decimal / scaled numeric</w:t>
            </w:r>
          </w:p>
        </w:tc>
        <w:tc>
          <w:tcPr>
            <w:tcW w:type="dxa" w:w="2520"/>
            <w:vAlign w:val="center"/>
            <w:tcBorders>
              <w:top w:val="single" w:sz="4" w:color="D0D5DD"/>
              <w:left w:val="single" w:sz="4" w:color="D0D5DD"/>
              <w:bottom w:val="single" w:sz="4" w:color="D0D5DD"/>
              <w:right w:val="single" w:sz="4" w:color="D0D5DD"/>
            </w:tcBorders>
          </w:tcPr>
          <w:p>
            <w:r>
              <w:t>Do not coerce to integer</w:t>
            </w:r>
          </w:p>
        </w:tc>
      </w:tr>
      <w:tr>
        <w:tc>
          <w:tcPr>
            <w:tcW w:type="dxa" w:w="2520"/>
            <w:vAlign w:val="center"/>
            <w:tcBorders>
              <w:top w:val="single" w:sz="4" w:color="D0D5DD"/>
              <w:left w:val="single" w:sz="4" w:color="D0D5DD"/>
              <w:bottom w:val="single" w:sz="4" w:color="D0D5DD"/>
              <w:right w:val="single" w:sz="4" w:color="D0D5DD"/>
            </w:tcBorders>
          </w:tcPr>
          <w:p>
            <w:r>
              <w:t>buyer_role</w:t>
            </w:r>
          </w:p>
        </w:tc>
        <w:tc>
          <w:tcPr>
            <w:tcW w:type="dxa" w:w="2520"/>
            <w:vAlign w:val="center"/>
            <w:tcBorders>
              <w:top w:val="single" w:sz="4" w:color="D0D5DD"/>
              <w:left w:val="single" w:sz="4" w:color="D0D5DD"/>
              <w:bottom w:val="single" w:sz="4" w:color="D0D5DD"/>
              <w:right w:val="single" w:sz="4" w:color="D0D5DD"/>
            </w:tcBorders>
          </w:tcPr>
          <w:p>
            <w:r>
              <w:t>Buyer maker/taker role</w:t>
            </w:r>
          </w:p>
        </w:tc>
        <w:tc>
          <w:tcPr>
            <w:tcW w:type="dxa" w:w="2520"/>
            <w:vAlign w:val="center"/>
            <w:tcBorders>
              <w:top w:val="single" w:sz="4" w:color="D0D5DD"/>
              <w:left w:val="single" w:sz="4" w:color="D0D5DD"/>
              <w:bottom w:val="single" w:sz="4" w:color="D0D5DD"/>
              <w:right w:val="single" w:sz="4" w:color="D0D5DD"/>
            </w:tcBorders>
          </w:tcPr>
          <w:p>
            <w:r>
              <w:t>Enum8</w:t>
            </w:r>
          </w:p>
        </w:tc>
        <w:tc>
          <w:tcPr>
            <w:tcW w:type="dxa" w:w="2520"/>
            <w:vAlign w:val="center"/>
            <w:tcBorders>
              <w:top w:val="single" w:sz="4" w:color="D0D5DD"/>
              <w:left w:val="single" w:sz="4" w:color="D0D5DD"/>
              <w:bottom w:val="single" w:sz="4" w:color="D0D5DD"/>
              <w:right w:val="single" w:sz="4" w:color="D0D5DD"/>
            </w:tcBorders>
          </w:tcPr>
          <w:p>
            <w:r>
              <w:t>maker / taker</w:t>
            </w:r>
          </w:p>
        </w:tc>
      </w:tr>
      <w:tr>
        <w:tc>
          <w:tcPr>
            <w:tcW w:type="dxa" w:w="2520"/>
            <w:vAlign w:val="center"/>
            <w:tcBorders>
              <w:top w:val="single" w:sz="4" w:color="D0D5DD"/>
              <w:left w:val="single" w:sz="4" w:color="D0D5DD"/>
              <w:bottom w:val="single" w:sz="4" w:color="D0D5DD"/>
              <w:right w:val="single" w:sz="4" w:color="D0D5DD"/>
            </w:tcBorders>
          </w:tcPr>
          <w:p>
            <w:r>
              <w:t>source</w:t>
            </w:r>
          </w:p>
        </w:tc>
        <w:tc>
          <w:tcPr>
            <w:tcW w:type="dxa" w:w="2520"/>
            <w:vAlign w:val="center"/>
            <w:tcBorders>
              <w:top w:val="single" w:sz="4" w:color="D0D5DD"/>
              <w:left w:val="single" w:sz="4" w:color="D0D5DD"/>
              <w:bottom w:val="single" w:sz="4" w:color="D0D5DD"/>
              <w:right w:val="single" w:sz="4" w:color="D0D5DD"/>
            </w:tcBorders>
          </w:tcPr>
          <w:p>
            <w:r>
              <w:t>Data provenance</w:t>
            </w:r>
          </w:p>
        </w:tc>
        <w:tc>
          <w:tcPr>
            <w:tcW w:type="dxa" w:w="2520"/>
            <w:vAlign w:val="center"/>
            <w:tcBorders>
              <w:top w:val="single" w:sz="4" w:color="D0D5DD"/>
              <w:left w:val="single" w:sz="4" w:color="D0D5DD"/>
              <w:bottom w:val="single" w:sz="4" w:color="D0D5DD"/>
              <w:right w:val="single" w:sz="4" w:color="D0D5DD"/>
            </w:tcBorders>
          </w:tcPr>
          <w:p>
            <w:r>
              <w:t>Enum8 / LowCardinality(String)</w:t>
            </w:r>
          </w:p>
        </w:tc>
        <w:tc>
          <w:tcPr>
            <w:tcW w:type="dxa" w:w="2520"/>
            <w:vAlign w:val="center"/>
            <w:tcBorders>
              <w:top w:val="single" w:sz="4" w:color="D0D5DD"/>
              <w:left w:val="single" w:sz="4" w:color="D0D5DD"/>
              <w:bottom w:val="single" w:sz="4" w:color="D0D5DD"/>
              <w:right w:val="single" w:sz="4" w:color="D0D5DD"/>
            </w:tcBorders>
          </w:tcPr>
          <w:p>
            <w:r>
              <w:t>OFFICIAL_CSV / LIVE_WS</w:t>
            </w:r>
          </w:p>
        </w:tc>
      </w:tr>
      <w:tr>
        <w:tc>
          <w:tcPr>
            <w:tcW w:type="dxa" w:w="2520"/>
            <w:vAlign w:val="center"/>
            <w:tcBorders>
              <w:top w:val="single" w:sz="4" w:color="D0D5DD"/>
              <w:left w:val="single" w:sz="4" w:color="D0D5DD"/>
              <w:bottom w:val="single" w:sz="4" w:color="D0D5DD"/>
              <w:right w:val="single" w:sz="4" w:color="D0D5DD"/>
            </w:tcBorders>
          </w:tcPr>
          <w:p>
            <w:r>
              <w:t>ingested_at</w:t>
            </w:r>
          </w:p>
        </w:tc>
        <w:tc>
          <w:tcPr>
            <w:tcW w:type="dxa" w:w="2520"/>
            <w:vAlign w:val="center"/>
            <w:tcBorders>
              <w:top w:val="single" w:sz="4" w:color="D0D5DD"/>
              <w:left w:val="single" w:sz="4" w:color="D0D5DD"/>
              <w:bottom w:val="single" w:sz="4" w:color="D0D5DD"/>
              <w:right w:val="single" w:sz="4" w:color="D0D5DD"/>
            </w:tcBorders>
          </w:tcPr>
          <w:p>
            <w:r>
              <w:t>Arrival/import time</w:t>
            </w:r>
          </w:p>
        </w:tc>
        <w:tc>
          <w:tcPr>
            <w:tcW w:type="dxa" w:w="2520"/>
            <w:vAlign w:val="center"/>
            <w:tcBorders>
              <w:top w:val="single" w:sz="4" w:color="D0D5DD"/>
              <w:left w:val="single" w:sz="4" w:color="D0D5DD"/>
              <w:bottom w:val="single" w:sz="4" w:color="D0D5DD"/>
              <w:right w:val="single" w:sz="4" w:color="D0D5DD"/>
            </w:tcBorders>
          </w:tcPr>
          <w:p>
            <w:r>
              <w:t>DateTime64</w:t>
            </w:r>
          </w:p>
        </w:tc>
        <w:tc>
          <w:tcPr>
            <w:tcW w:type="dxa" w:w="2520"/>
            <w:vAlign w:val="center"/>
            <w:tcBorders>
              <w:top w:val="single" w:sz="4" w:color="D0D5DD"/>
              <w:left w:val="single" w:sz="4" w:color="D0D5DD"/>
              <w:bottom w:val="single" w:sz="4" w:color="D0D5DD"/>
              <w:right w:val="single" w:sz="4" w:color="D0D5DD"/>
            </w:tcBorders>
          </w:tcPr>
          <w:p>
            <w:r>
              <w:t>Operational metadata</w:t>
            </w:r>
          </w:p>
        </w:tc>
      </w:tr>
    </w:tbl>
    <w:p>
      <w:pPr>
        <w:pStyle w:val="Heading1"/>
      </w:pPr>
      <w:r>
        <w:t>7. ClickHouse Design</w:t>
      </w:r>
    </w:p>
    <w:p>
      <w:r>
        <w:t>ClickHouse is the operational datastore for raw ticks and selected derived market-data aggregates.</w:t>
      </w:r>
    </w:p>
    <w:p>
      <w:pPr>
        <w:pStyle w:val="ListBullet"/>
      </w:pPr>
      <w:r>
        <w:t>Engine family: MergeTree.</w:t>
      </w:r>
    </w:p>
    <w:p>
      <w:pPr>
        <w:pStyle w:val="ListBullet"/>
      </w:pPr>
      <w:r>
        <w:t>Partitioning: monthly partitioning is the initial preference, subject to benchmark validation.</w:t>
      </w:r>
    </w:p>
    <w:p>
      <w:pPr>
        <w:pStyle w:val="ListBullet"/>
      </w:pPr>
      <w:r>
        <w:t>Primary ordering principle: symbol + timestamp for efficient chronological range scans.</w:t>
      </w:r>
    </w:p>
    <w:p>
      <w:pPr>
        <w:pStyle w:val="ListBullet"/>
      </w:pPr>
      <w:r>
        <w:t>Compression: use ClickHouse native columnar compression; benchmark actual disk footprint on the 7.4M-row BTC month.</w:t>
      </w:r>
    </w:p>
    <w:p>
      <w:pPr>
        <w:pStyle w:val="ListBullet"/>
      </w:pPr>
      <w:r>
        <w:t>Insert style: buffered/batched inserts, never one network insert per tick.</w:t>
      </w:r>
    </w:p>
    <w:p>
      <w:pPr>
        <w:pStyle w:val="ListBullet"/>
      </w:pPr>
      <w:r>
        <w:t>Retention: keep as much high-fidelity history as current OCI storage permits; archive/export older data when needed.</w:t>
      </w:r>
    </w:p>
    <w:p>
      <w:pPr>
        <w:pStyle w:val="ListBullet"/>
      </w:pPr>
      <w:r>
        <w:t>Schema changes must be versioned and reproducible.</w:t>
      </w:r>
    </w:p>
    <w:p>
      <w:r>
        <w:t>Initial logical tables may include:</w:t>
      </w:r>
    </w:p>
    <w:p>
      <w:pPr>
        <w:pStyle w:val="CodeBlock"/>
      </w:pPr>
      <w:r>
        <w:rPr>
          <w:rFonts w:ascii="Consolas" w:hAnsi="Consolas"/>
        </w:rPr>
        <w:t>raw_ticks</w:t>
        <w:br/>
        <w:t>historical_imports</w:t>
        <w:br/>
        <w:t>tick_coverage</w:t>
        <w:br/>
        <w:t>data_gaps</w:t>
        <w:br/>
        <w:t>reconciliation_runs</w:t>
        <w:br/>
        <w:t>derived_trade_aggregates</w:t>
        <w:br/>
        <w:t>derived_price_level_aggregates</w:t>
        <w:br/>
      </w:r>
    </w:p>
    <w:p>
      <w:pPr>
        <w:pStyle w:val="Heading1"/>
      </w:pPr>
      <w:r>
        <w:t>8. Historical CSV Import Pipeline</w:t>
      </w:r>
    </w:p>
    <w:p>
      <w:pPr>
        <w:pStyle w:val="CodeBlock"/>
      </w:pPr>
      <w:r>
        <w:rPr>
          <w:rFonts w:ascii="Consolas" w:hAnsi="Consolas"/>
        </w:rPr>
        <w:t>Monthly CSV</w:t>
        <w:br/>
        <w:t xml:space="preserve">   -&gt; validate schema</w:t>
        <w:br/>
        <w:t xml:space="preserve">   -&gt; validate timestamps / price / size / buyer_role</w:t>
        <w:br/>
        <w:t xml:space="preserve">   -&gt; compute source checksum + row count</w:t>
        <w:br/>
        <w:t xml:space="preserve">   -&gt; normalize</w:t>
        <w:br/>
        <w:t xml:space="preserve">   -&gt; bulk insert to ClickHouse</w:t>
        <w:br/>
        <w:t xml:space="preserve">   -&gt; verify MIN/MAX timestamp + row count + volume</w:t>
        <w:br/>
        <w:t xml:space="preserve">   -&gt; record import metadata</w:t>
        <w:br/>
        <w:t xml:space="preserve">   -&gt; mark verified / failed</w:t>
        <w:br/>
      </w:r>
    </w:p>
    <w:p>
      <w:r>
        <w:t>The first proof dataset is the real BTCUSD August 2026 file with approximately 7.4 million rows.</w:t>
      </w:r>
    </w:p>
    <w:p>
      <w:r>
        <w:t>Historical import validation must include:</w:t>
      </w:r>
    </w:p>
    <w:p>
      <w:pPr>
        <w:pStyle w:val="ListBullet"/>
      </w:pPr>
      <w:r>
        <w:t>Expected symbol and schema.</w:t>
      </w:r>
    </w:p>
    <w:p>
      <w:pPr>
        <w:pStyle w:val="ListBullet"/>
      </w:pPr>
      <w:r>
        <w:t>Parseable microsecond timestamps.</w:t>
      </w:r>
    </w:p>
    <w:p>
      <w:pPr>
        <w:pStyle w:val="ListBullet"/>
      </w:pPr>
      <w:r>
        <w:t>Positive valid prices and sizes.</w:t>
      </w:r>
    </w:p>
    <w:p>
      <w:pPr>
        <w:pStyle w:val="ListBullet"/>
      </w:pPr>
      <w:r>
        <w:t>Known buyer_role values only.</w:t>
      </w:r>
    </w:p>
    <w:p>
      <w:pPr>
        <w:pStyle w:val="ListBullet"/>
      </w:pPr>
      <w:r>
        <w:t>CSV row count versus ClickHouse count.</w:t>
      </w:r>
    </w:p>
    <w:p>
      <w:pPr>
        <w:pStyle w:val="ListBullet"/>
      </w:pPr>
      <w:r>
        <w:t>First and last timestamps.</w:t>
      </w:r>
    </w:p>
    <w:p>
      <w:pPr>
        <w:pStyle w:val="ListBullet"/>
      </w:pPr>
      <w:r>
        <w:t>Aggregate volume comparison.</w:t>
      </w:r>
    </w:p>
    <w:p>
      <w:pPr>
        <w:pStyle w:val="ListBullet"/>
      </w:pPr>
      <w:r>
        <w:t>Sample validation from beginning, middle, and end of the file.</w:t>
      </w:r>
    </w:p>
    <w:p>
      <w:pPr>
        <w:pStyle w:val="ListBullet"/>
      </w:pPr>
      <w:r>
        <w:t>Duplicate analysis before any deduplication rule is frozen.</w:t>
      </w:r>
    </w:p>
    <w:p>
      <w:pPr>
        <w:pStyle w:val="Heading1"/>
      </w:pPr>
      <w:r>
        <w:t>9. Live Tick Collection Pipeline</w:t>
      </w:r>
    </w:p>
    <w:p>
      <w:pPr>
        <w:pStyle w:val="CodeBlock"/>
      </w:pPr>
      <w:r>
        <w:rPr>
          <w:rFonts w:ascii="Consolas" w:hAnsi="Consolas"/>
        </w:rPr>
        <w:t>Delta WebSocket</w:t>
        <w:br/>
        <w:t xml:space="preserve">    -&gt; receive trade</w:t>
        <w:br/>
        <w:t xml:space="preserve">    -&gt; normalize</w:t>
        <w:br/>
        <w:t xml:space="preserve">    -&gt; publish to live consumers</w:t>
        <w:br/>
        <w:t xml:space="preserve">    -&gt; add to in-memory insert buffer</w:t>
        <w:br/>
        <w:t xml:space="preserve">    -&gt; flush by row threshold and/or short time threshold</w:t>
        <w:br/>
        <w:t xml:space="preserve">    -&gt; batch insert into ClickHouse</w:t>
        <w:br/>
      </w:r>
    </w:p>
    <w:p>
      <w:r>
        <w:t>The live collector must initially be proven with BTCUSD only, then extended to ETHUSD, SOLUSD, and PAXG.</w:t>
      </w:r>
    </w:p>
    <w:p>
      <w:pPr>
        <w:pStyle w:val="ListBullet"/>
      </w:pPr>
      <w:r>
        <w:t>Maintain a stable WebSocket connection rather than separate connections for each analytical tool.</w:t>
      </w:r>
    </w:p>
    <w:p>
      <w:pPr>
        <w:pStyle w:val="ListBullet"/>
      </w:pPr>
      <w:r>
        <w:t>Track received count, persisted count, insert failures, reconnect count, buffer depth, and last trade timestamp.</w:t>
      </w:r>
    </w:p>
    <w:p>
      <w:pPr>
        <w:pStyle w:val="ListBullet"/>
      </w:pPr>
      <w:r>
        <w:t>Use heartbeat/reconnect logic and exponential backoff.</w:t>
      </w:r>
    </w:p>
    <w:p>
      <w:pPr>
        <w:pStyle w:val="ListBullet"/>
      </w:pPr>
      <w:r>
        <w:t>Do not block live strategy processing on ClickHouse insert latency.</w:t>
      </w:r>
    </w:p>
    <w:p>
      <w:pPr>
        <w:pStyle w:val="Heading1"/>
      </w:pPr>
      <w:r>
        <w:t>10. Live Automation Path</w:t>
      </w:r>
    </w:p>
    <w:p>
      <w:pPr>
        <w:pStyle w:val="CodeBlock"/>
      </w:pPr>
      <w:r>
        <w:rPr>
          <w:rFonts w:ascii="Consolas" w:hAnsi="Consolas"/>
        </w:rPr>
        <w:t>Delta trade tick</w:t>
        <w:br/>
        <w:t xml:space="preserve">      |</w:t>
        <w:br/>
        <w:t xml:space="preserve">      v</w:t>
        <w:br/>
        <w:t>CHIRAX market-data worker</w:t>
        <w:br/>
        <w:t xml:space="preserve">      |</w:t>
        <w:br/>
        <w:t xml:space="preserve">      +----&gt; live VP / VWAP / CVD / footprint state</w:t>
        <w:br/>
        <w:t xml:space="preserve">      |</w:t>
        <w:br/>
        <w:t xml:space="preserve">      +----&gt; strategy engine</w:t>
        <w:br/>
        <w:t xml:space="preserve">      |        |</w:t>
        <w:br/>
        <w:t xml:space="preserve">      |        v</w:t>
        <w:br/>
        <w:t xml:space="preserve">      |      risk engine</w:t>
        <w:br/>
        <w:t xml:space="preserve">      |        |</w:t>
        <w:br/>
        <w:t xml:space="preserve">      |        v</w:t>
        <w:br/>
        <w:t xml:space="preserve">      |      automation / order execution</w:t>
        <w:br/>
        <w:t xml:space="preserve">      |</w:t>
        <w:br/>
        <w:t xml:space="preserve">      +----&gt; persistence buffer -&gt; ClickHouse</w:t>
        <w:br/>
      </w:r>
    </w:p>
    <w:p>
      <w:r>
        <w:t>This separation ensures that a temporary ClickHouse slowdown does not automatically stop live strategy evaluation. Persistence health must still be monitored and failures must be surfaced.</w:t>
      </w:r>
    </w:p>
    <w:p>
      <w:pPr>
        <w:pStyle w:val="Heading1"/>
      </w:pPr>
      <w:r>
        <w:t>11. Historical-to-Live Continuity</w:t>
      </w:r>
    </w:p>
    <w:p>
      <w:r>
        <w:t>Continuity is a first-class requirement.</w:t>
      </w:r>
    </w:p>
    <w:p>
      <w:pPr>
        <w:pStyle w:val="CodeBlock"/>
      </w:pPr>
      <w:r>
        <w:rPr>
          <w:rFonts w:ascii="Consolas" w:hAnsi="Consolas"/>
        </w:rPr>
        <w:t>Historical CSV history -------------------------&gt;</w:t>
        <w:br/>
        <w:t xml:space="preserve">                                      overlap window</w:t>
        <w:br/>
        <w:t xml:space="preserve">                                 &lt;-------------------- Live WS history</w:t>
        <w:br/>
      </w:r>
    </w:p>
    <w:p>
      <w:r>
        <w:t>The handoff must use an intentional overlap whenever possible.</w:t>
      </w:r>
    </w:p>
    <w:p>
      <w:pPr>
        <w:pStyle w:val="ListBullet"/>
      </w:pPr>
      <w:r>
        <w:t>Compare overlapping tick counts.</w:t>
      </w:r>
    </w:p>
    <w:p>
      <w:pPr>
        <w:pStyle w:val="ListBullet"/>
      </w:pPr>
      <w:r>
        <w:t>Compare timestamps, prices, sizes, and buyer roles.</w:t>
      </w:r>
    </w:p>
    <w:p>
      <w:pPr>
        <w:pStyle w:val="ListBullet"/>
      </w:pPr>
      <w:r>
        <w:t>Compare aggregate volume.</w:t>
      </w:r>
    </w:p>
    <w:p>
      <w:pPr>
        <w:pStyle w:val="ListBullet"/>
      </w:pPr>
      <w:r>
        <w:t>Detect missing intervals.</w:t>
      </w:r>
    </w:p>
    <w:p>
      <w:pPr>
        <w:pStyle w:val="ListBullet"/>
      </w:pPr>
      <w:r>
        <w:t>Do not silently assume that a WebSocket reconnect backfills missed trades.</w:t>
      </w:r>
    </w:p>
    <w:p>
      <w:pPr>
        <w:pStyle w:val="ListBullet"/>
      </w:pPr>
      <w:r>
        <w:t>Use later official monthly CSVs to verify/repair live-captured months where possible.</w:t>
      </w:r>
    </w:p>
    <w:p>
      <w:pPr>
        <w:pStyle w:val="Heading1"/>
      </w:pPr>
      <w:r>
        <w:t>12. Data Quality States</w:t>
      </w:r>
    </w:p>
    <w:tbl>
      <w:tblPr>
        <w:tblW w:type="auto" w:w="0"/>
        <w:jc w:val="center"/>
        <w:tblLook w:firstColumn="1" w:firstRow="1" w:lastColumn="0" w:lastRow="0" w:noHBand="0" w:noVBand="1" w:val="04A0"/>
      </w:tblPr>
      <w:tblGrid>
        <w:gridCol w:w="5040"/>
        <w:gridCol w:w="5040"/>
      </w:tblGrid>
      <w:tr>
        <w:tc>
          <w:tcPr>
            <w:tcW w:type="dxa" w:w="5040"/>
            <w:shd w:fill="0F8A6A"/>
          </w:tcPr>
          <w:p>
            <w:r>
              <w:rPr>
                <w:b/>
                <w:color w:val="FFFFFF"/>
              </w:rPr>
              <w:t>State</w:t>
            </w:r>
          </w:p>
        </w:tc>
        <w:tc>
          <w:tcPr>
            <w:tcW w:type="dxa" w:w="5040"/>
            <w:shd w:fill="0F8A6A"/>
          </w:tcPr>
          <w:p>
            <w:r>
              <w:rPr>
                <w:b/>
                <w:color w:val="FFFFFF"/>
              </w:rPr>
              <w:t>Meaning</w:t>
            </w:r>
          </w:p>
        </w:tc>
      </w:tr>
      <w:tr>
        <w:tc>
          <w:tcPr>
            <w:tcW w:type="dxa" w:w="5040"/>
          </w:tcPr>
          <w:p>
            <w:r>
              <w:t>LIVE_UNVERIFIED</w:t>
            </w:r>
          </w:p>
        </w:tc>
        <w:tc>
          <w:tcPr>
            <w:tcW w:type="dxa" w:w="5040"/>
          </w:tcPr>
          <w:p>
            <w:r>
              <w:t>Currently arriving live data; not yet reconciled with an official monthly file.</w:t>
            </w:r>
          </w:p>
        </w:tc>
      </w:tr>
      <w:tr>
        <w:tc>
          <w:tcPr>
            <w:tcW w:type="dxa" w:w="5040"/>
          </w:tcPr>
          <w:p>
            <w:r>
              <w:t>RECORDED</w:t>
            </w:r>
          </w:p>
        </w:tc>
        <w:tc>
          <w:tcPr>
            <w:tcW w:type="dxa" w:w="5040"/>
          </w:tcPr>
          <w:p>
            <w:r>
              <w:t>Persisted successfully with no known gaps.</w:t>
            </w:r>
          </w:p>
        </w:tc>
      </w:tr>
      <w:tr>
        <w:tc>
          <w:tcPr>
            <w:tcW w:type="dxa" w:w="5040"/>
          </w:tcPr>
          <w:p>
            <w:r>
              <w:t>PARTIAL</w:t>
            </w:r>
          </w:p>
        </w:tc>
        <w:tc>
          <w:tcPr>
            <w:tcW w:type="dxa" w:w="5040"/>
          </w:tcPr>
          <w:p>
            <w:r>
              <w:t>Known incomplete period or incomplete source coverage.</w:t>
            </w:r>
          </w:p>
        </w:tc>
      </w:tr>
      <w:tr>
        <w:tc>
          <w:tcPr>
            <w:tcW w:type="dxa" w:w="5040"/>
          </w:tcPr>
          <w:p>
            <w:r>
              <w:t>GAP_DETECTED</w:t>
            </w:r>
          </w:p>
        </w:tc>
        <w:tc>
          <w:tcPr>
            <w:tcW w:type="dxa" w:w="5040"/>
          </w:tcPr>
          <w:p>
            <w:r>
              <w:t>Collector/network interruption suggests missing ticks.</w:t>
            </w:r>
          </w:p>
        </w:tc>
      </w:tr>
      <w:tr>
        <w:tc>
          <w:tcPr>
            <w:tcW w:type="dxa" w:w="5040"/>
          </w:tcPr>
          <w:p>
            <w:r>
              <w:t>OFFICIAL_VERIFIED</w:t>
            </w:r>
          </w:p>
        </w:tc>
        <w:tc>
          <w:tcPr>
            <w:tcW w:type="dxa" w:w="5040"/>
          </w:tcPr>
          <w:p>
            <w:r>
              <w:t>Compared/reconciled against the official Delta monthly file.</w:t>
            </w:r>
          </w:p>
        </w:tc>
      </w:tr>
    </w:tbl>
    <w:p>
      <w:pPr>
        <w:pStyle w:val="Heading1"/>
      </w:pPr>
      <w:r>
        <w:t>13. Derived Market Data</w:t>
      </w:r>
    </w:p>
    <w:p>
      <w:r>
        <w:t>Raw ticks remain authoritative. Derived datasets exist to accelerate repeated analytical workloads.</w:t>
      </w:r>
    </w:p>
    <w:p>
      <w:pPr>
        <w:pStyle w:val="Heading2"/>
      </w:pPr>
      <w:r>
        <w:t>13.1 One-Minute Trade Aggregate</w:t>
      </w:r>
    </w:p>
    <w:p>
      <w:pPr>
        <w:pStyle w:val="CodeBlock"/>
      </w:pPr>
      <w:r>
        <w:rPr>
          <w:rFonts w:ascii="Consolas" w:hAnsi="Consolas"/>
        </w:rPr>
        <w:t>symbol</w:t>
        <w:br/>
        <w:t>minute</w:t>
        <w:br/>
        <w:t>open</w:t>
        <w:br/>
        <w:t>high</w:t>
        <w:br/>
        <w:t>low</w:t>
        <w:br/>
        <w:t>close</w:t>
        <w:br/>
        <w:t>volume</w:t>
        <w:br/>
        <w:t>trade_count</w:t>
        <w:br/>
        <w:t>buy_volume</w:t>
        <w:br/>
        <w:t>sell_volume</w:t>
        <w:br/>
        <w:t>delta</w:t>
        <w:br/>
        <w:t>sum_price_volume</w:t>
        <w:br/>
      </w:r>
    </w:p>
    <w:p>
      <w:pPr>
        <w:pStyle w:val="Heading2"/>
      </w:pPr>
      <w:r>
        <w:t>13.2 Price-Level Aggregate</w:t>
      </w:r>
    </w:p>
    <w:p>
      <w:pPr>
        <w:pStyle w:val="CodeBlock"/>
      </w:pPr>
      <w:r>
        <w:rPr>
          <w:rFonts w:ascii="Consolas" w:hAnsi="Consolas"/>
        </w:rPr>
        <w:t>symbol</w:t>
        <w:br/>
        <w:t>minute</w:t>
        <w:br/>
        <w:t>price_level</w:t>
        <w:br/>
        <w:t>buy_volume</w:t>
        <w:br/>
        <w:t>sell_volume</w:t>
        <w:br/>
        <w:t>delta</w:t>
        <w:br/>
        <w:t>trade_count</w:t>
        <w:br/>
      </w:r>
    </w:p>
    <w:p>
      <w:r>
        <w:t>These derived datasets may later be built with ClickHouse materialized views after raw ingestion is stable and benchmarked.</w:t>
      </w:r>
    </w:p>
    <w:p>
      <w:pPr>
        <w:pStyle w:val="Heading1"/>
      </w:pPr>
      <w:r>
        <w:t>14. Analytical Capabilities</w:t>
      </w:r>
    </w:p>
    <w:tbl>
      <w:tblPr>
        <w:tblW w:type="auto" w:w="0"/>
        <w:jc w:val="center"/>
        <w:tblLook w:firstColumn="1" w:firstRow="1" w:lastColumn="0" w:lastRow="0" w:noHBand="0" w:noVBand="1" w:val="04A0"/>
      </w:tblPr>
      <w:tblGrid>
        <w:gridCol w:w="3360"/>
        <w:gridCol w:w="3360"/>
        <w:gridCol w:w="3360"/>
      </w:tblGrid>
      <w:tr>
        <w:tc>
          <w:tcPr>
            <w:tcW w:type="dxa" w:w="3360"/>
            <w:shd w:fill="0F8A6A"/>
          </w:tcPr>
          <w:p>
            <w:r>
              <w:rPr>
                <w:b/>
                <w:color w:val="FFFFFF"/>
              </w:rPr>
              <w:t>Capability</w:t>
            </w:r>
          </w:p>
        </w:tc>
        <w:tc>
          <w:tcPr>
            <w:tcW w:type="dxa" w:w="3360"/>
            <w:shd w:fill="0F8A6A"/>
          </w:tcPr>
          <w:p>
            <w:r>
              <w:rPr>
                <w:b/>
                <w:color w:val="FFFFFF"/>
              </w:rPr>
              <w:t>Data Foundation</w:t>
            </w:r>
          </w:p>
        </w:tc>
        <w:tc>
          <w:tcPr>
            <w:tcW w:type="dxa" w:w="3360"/>
            <w:shd w:fill="0F8A6A"/>
          </w:tcPr>
          <w:p>
            <w:r>
              <w:rPr>
                <w:b/>
                <w:color w:val="FFFFFF"/>
              </w:rPr>
              <w:t>V1 Status</w:t>
            </w:r>
          </w:p>
        </w:tc>
      </w:tr>
      <w:tr>
        <w:tc>
          <w:tcPr>
            <w:tcW w:type="dxa" w:w="3360"/>
          </w:tcPr>
          <w:p>
            <w:r>
              <w:t>Volume Profile</w:t>
            </w:r>
          </w:p>
        </w:tc>
        <w:tc>
          <w:tcPr>
            <w:tcW w:type="dxa" w:w="3360"/>
          </w:tcPr>
          <w:p>
            <w:r>
              <w:t>Executed price × size</w:t>
            </w:r>
          </w:p>
        </w:tc>
        <w:tc>
          <w:tcPr>
            <w:tcW w:type="dxa" w:w="3360"/>
          </w:tcPr>
          <w:p>
            <w:r>
              <w:t>Planned</w:t>
            </w:r>
          </w:p>
        </w:tc>
      </w:tr>
      <w:tr>
        <w:tc>
          <w:tcPr>
            <w:tcW w:type="dxa" w:w="3360"/>
          </w:tcPr>
          <w:p>
            <w:r>
              <w:t>POC / VAH / VAL / HVN / LVN</w:t>
            </w:r>
          </w:p>
        </w:tc>
        <w:tc>
          <w:tcPr>
            <w:tcW w:type="dxa" w:w="3360"/>
          </w:tcPr>
          <w:p>
            <w:r>
              <w:t>Tick-derived price-volume distribution</w:t>
            </w:r>
          </w:p>
        </w:tc>
        <w:tc>
          <w:tcPr>
            <w:tcW w:type="dxa" w:w="3360"/>
          </w:tcPr>
          <w:p>
            <w:r>
              <w:t>Planned</w:t>
            </w:r>
          </w:p>
        </w:tc>
      </w:tr>
      <w:tr>
        <w:tc>
          <w:tcPr>
            <w:tcW w:type="dxa" w:w="3360"/>
          </w:tcPr>
          <w:p>
            <w:r>
              <w:t>VWAP / Anchored VWAP</w:t>
            </w:r>
          </w:p>
        </w:tc>
        <w:tc>
          <w:tcPr>
            <w:tcW w:type="dxa" w:w="3360"/>
          </w:tcPr>
          <w:p>
            <w:r>
              <w:t>Σ(price × size) / Σ(size)</w:t>
            </w:r>
          </w:p>
        </w:tc>
        <w:tc>
          <w:tcPr>
            <w:tcW w:type="dxa" w:w="3360"/>
          </w:tcPr>
          <w:p>
            <w:r>
              <w:t>Planned</w:t>
            </w:r>
          </w:p>
        </w:tc>
      </w:tr>
      <w:tr>
        <w:tc>
          <w:tcPr>
            <w:tcW w:type="dxa" w:w="3360"/>
          </w:tcPr>
          <w:p>
            <w:r>
              <w:t>Aggressive Buy/Sell Volume</w:t>
            </w:r>
          </w:p>
        </w:tc>
        <w:tc>
          <w:tcPr>
            <w:tcW w:type="dxa" w:w="3360"/>
          </w:tcPr>
          <w:p>
            <w:r>
              <w:t>buyer_role</w:t>
            </w:r>
          </w:p>
        </w:tc>
        <w:tc>
          <w:tcPr>
            <w:tcW w:type="dxa" w:w="3360"/>
          </w:tcPr>
          <w:p>
            <w:r>
              <w:t>Planned</w:t>
            </w:r>
          </w:p>
        </w:tc>
      </w:tr>
      <w:tr>
        <w:tc>
          <w:tcPr>
            <w:tcW w:type="dxa" w:w="3360"/>
          </w:tcPr>
          <w:p>
            <w:r>
              <w:t>Volume Delta</w:t>
            </w:r>
          </w:p>
        </w:tc>
        <w:tc>
          <w:tcPr>
            <w:tcW w:type="dxa" w:w="3360"/>
          </w:tcPr>
          <w:p>
            <w:r>
              <w:t>Buy volume - Sell volume</w:t>
            </w:r>
          </w:p>
        </w:tc>
        <w:tc>
          <w:tcPr>
            <w:tcW w:type="dxa" w:w="3360"/>
          </w:tcPr>
          <w:p>
            <w:r>
              <w:t>Planned</w:t>
            </w:r>
          </w:p>
        </w:tc>
      </w:tr>
      <w:tr>
        <w:tc>
          <w:tcPr>
            <w:tcW w:type="dxa" w:w="3360"/>
          </w:tcPr>
          <w:p>
            <w:r>
              <w:t>CVD</w:t>
            </w:r>
          </w:p>
        </w:tc>
        <w:tc>
          <w:tcPr>
            <w:tcW w:type="dxa" w:w="3360"/>
          </w:tcPr>
          <w:p>
            <w:r>
              <w:t>Cumulative signed volume</w:t>
            </w:r>
          </w:p>
        </w:tc>
        <w:tc>
          <w:tcPr>
            <w:tcW w:type="dxa" w:w="3360"/>
          </w:tcPr>
          <w:p>
            <w:r>
              <w:t>Planned</w:t>
            </w:r>
          </w:p>
        </w:tc>
      </w:tr>
      <w:tr>
        <w:tc>
          <w:tcPr>
            <w:tcW w:type="dxa" w:w="3360"/>
          </w:tcPr>
          <w:p>
            <w:r>
              <w:t>Footprint</w:t>
            </w:r>
          </w:p>
        </w:tc>
        <w:tc>
          <w:tcPr>
            <w:tcW w:type="dxa" w:w="3360"/>
          </w:tcPr>
          <w:p>
            <w:r>
              <w:t>Price-level buy/sell aggregation</w:t>
            </w:r>
          </w:p>
        </w:tc>
        <w:tc>
          <w:tcPr>
            <w:tcW w:type="dxa" w:w="3360"/>
          </w:tcPr>
          <w:p>
            <w:r>
              <w:t>Planned</w:t>
            </w:r>
          </w:p>
        </w:tc>
      </w:tr>
      <w:tr>
        <w:tc>
          <w:tcPr>
            <w:tcW w:type="dxa" w:w="3360"/>
          </w:tcPr>
          <w:p>
            <w:r>
              <w:t>Imbalances</w:t>
            </w:r>
          </w:p>
        </w:tc>
        <w:tc>
          <w:tcPr>
            <w:tcW w:type="dxa" w:w="3360"/>
          </w:tcPr>
          <w:p>
            <w:r>
              <w:t>Price-level aggressive volume comparison</w:t>
            </w:r>
          </w:p>
        </w:tc>
        <w:tc>
          <w:tcPr>
            <w:tcW w:type="dxa" w:w="3360"/>
          </w:tcPr>
          <w:p>
            <w:r>
              <w:t>Planned</w:t>
            </w:r>
          </w:p>
        </w:tc>
      </w:tr>
      <w:tr>
        <w:tc>
          <w:tcPr>
            <w:tcW w:type="dxa" w:w="3360"/>
          </w:tcPr>
          <w:p>
            <w:r>
              <w:t>Historical DOM/L2 reconstruction</w:t>
            </w:r>
          </w:p>
        </w:tc>
        <w:tc>
          <w:tcPr>
            <w:tcW w:type="dxa" w:w="3360"/>
          </w:tcPr>
          <w:p>
            <w:r>
              <w:t>Requires historical order-book data</w:t>
            </w:r>
          </w:p>
        </w:tc>
        <w:tc>
          <w:tcPr>
            <w:tcW w:type="dxa" w:w="3360"/>
          </w:tcPr>
          <w:p>
            <w:r>
              <w:t>Out of scope</w:t>
            </w:r>
          </w:p>
        </w:tc>
      </w:tr>
    </w:tbl>
    <w:p>
      <w:pPr>
        <w:pStyle w:val="Heading1"/>
      </w:pPr>
      <w:r>
        <w:t>15. Backtesting Integration</w:t>
      </w:r>
    </w:p>
    <w:p>
      <w:pPr>
        <w:pStyle w:val="CodeBlock"/>
      </w:pPr>
      <w:r>
        <w:rPr>
          <w:rFonts w:ascii="Consolas" w:hAnsi="Consolas"/>
        </w:rPr>
        <w:t>Strategy signal path:</w:t>
        <w:br/>
        <w:t>Delta native strategy-timeframe candles</w:t>
        <w:br/>
        <w:t xml:space="preserve">        -&gt; closed-bar strategy evaluation</w:t>
        <w:br/>
        <w:t xml:space="preserve">        -&gt; signal confirmed</w:t>
        <w:br/>
        <w:br/>
        <w:t>Execution path:</w:t>
        <w:br/>
        <w:t>historical ClickHouse ticks</w:t>
        <w:br/>
        <w:t xml:space="preserve">        -&gt; chronological replay</w:t>
        <w:br/>
        <w:t xml:space="preserve">        -&gt; entry / SL / TP / trailing / break-even / partial exits</w:t>
        <w:br/>
      </w:r>
    </w:p>
    <w:p>
      <w:r>
        <w:t>The goal is to preserve native Delta candles as authoritative strategy bars while using ticks for high-fidelity intrabar execution and microstructure research.</w:t>
      </w:r>
    </w:p>
    <w:p>
      <w:pPr>
        <w:pStyle w:val="Heading1"/>
      </w:pPr>
      <w:r>
        <w:t>16. Main CHIRAX Integration Contract</w:t>
      </w:r>
    </w:p>
    <w:p>
      <w:r>
        <w:t>The main CHIRAX frontend never connects directly to ClickHouse.</w:t>
      </w:r>
    </w:p>
    <w:p>
      <w:pPr>
        <w:pStyle w:val="CodeBlock"/>
      </w:pPr>
      <w:r>
        <w:rPr>
          <w:rFonts w:ascii="Consolas" w:hAnsi="Consolas"/>
        </w:rPr>
        <w:t>Browser</w:t>
        <w:br/>
        <w:t xml:space="preserve">   -&gt; CHIRAX Fastify API / trusted workers</w:t>
        <w:br/>
        <w:t xml:space="preserve">      -&gt; ClickHouse</w:t>
        <w:br/>
      </w:r>
    </w:p>
    <w:p>
      <w:pPr>
        <w:pStyle w:val="ListBullet"/>
      </w:pPr>
      <w:r>
        <w:t>Historical tick-range retrieval.</w:t>
      </w:r>
    </w:p>
    <w:p>
      <w:pPr>
        <w:pStyle w:val="ListBullet"/>
      </w:pPr>
      <w:r>
        <w:t>Historical VP/VWAP/orderflow queries.</w:t>
      </w:r>
    </w:p>
    <w:p>
      <w:pPr>
        <w:pStyle w:val="ListBullet"/>
      </w:pPr>
      <w:r>
        <w:t>Backtest chronological tick streaming.</w:t>
      </w:r>
    </w:p>
    <w:p>
      <w:pPr>
        <w:pStyle w:val="ListBullet"/>
      </w:pPr>
      <w:r>
        <w:t>Coverage/data-quality queries.</w:t>
      </w:r>
    </w:p>
    <w:p>
      <w:pPr>
        <w:pStyle w:val="ListBullet"/>
      </w:pPr>
      <w:r>
        <w:t>Derived aggregate retrieval.</w:t>
      </w:r>
    </w:p>
    <w:p>
      <w:r>
        <w:t>Whether trusted CHIRAX workers connect directly to ClickHouse or use a thin market-data service should be finalized during implementation based on security and deployment simplicity.</w:t>
      </w:r>
    </w:p>
    <w:p>
      <w:pPr>
        <w:pStyle w:val="Heading1"/>
      </w:pPr>
      <w:r>
        <w:t>17. OCI Deployment</w:t>
      </w:r>
    </w:p>
    <w:p>
      <w:r>
        <w:t>Current intended split:</w:t>
      </w:r>
    </w:p>
    <w:p>
      <w:pPr>
        <w:pStyle w:val="CodeBlock"/>
      </w:pPr>
      <w:r>
        <w:rPr>
          <w:rFonts w:ascii="Consolas" w:hAnsi="Consolas"/>
        </w:rPr>
        <w:t>OCI deployment A - Main CHIRAX</w:t>
        <w:br/>
        <w:t>--------------------------------</w:t>
        <w:br/>
        <w:t>Next.js</w:t>
        <w:br/>
        <w:t>Fastify</w:t>
        <w:br/>
        <w:t>PostgreSQL / TimescaleDB</w:t>
        <w:br/>
        <w:t>Redis</w:t>
        <w:br/>
        <w:t>BullMQ</w:t>
        <w:br/>
        <w:t>strategy / risk / automation workers</w:t>
        <w:br/>
        <w:t>Caddy</w:t>
        <w:br/>
        <w:br/>
        <w:t>OCI deployment B - Market Data</w:t>
        <w:br/>
        <w:t>------------------------------</w:t>
        <w:br/>
        <w:t>ClickHouse</w:t>
        <w:br/>
        <w:t>tick ingestion services</w:t>
        <w:br/>
        <w:t>historical import utilities</w:t>
        <w:br/>
        <w:t>coverage / reconciliation workers</w:t>
        <w:br/>
      </w:r>
    </w:p>
    <w:p>
      <w:r>
        <w:t>Keep both deployments in the same or a nearby OCI region where practical to reduce network latency. The market-data deployment must be treated as independent infrastructure with its own monitoring and backups.</w:t>
      </w:r>
    </w:p>
    <w:p>
      <w:pPr>
        <w:pStyle w:val="Heading1"/>
      </w:pPr>
      <w:r>
        <w:t>18. Networking &amp; Security</w:t>
      </w:r>
    </w:p>
    <w:p>
      <w:pPr>
        <w:pStyle w:val="ListBullet"/>
      </w:pPr>
      <w:r>
        <w:t>Never expose ClickHouse unauthenticated to the public internet.</w:t>
      </w:r>
    </w:p>
    <w:p>
      <w:pPr>
        <w:pStyle w:val="ListBullet"/>
      </w:pPr>
      <w:r>
        <w:t>Restrict inbound ClickHouse access to explicitly authorized CHIRAX infrastructure.</w:t>
      </w:r>
    </w:p>
    <w:p>
      <w:pPr>
        <w:pStyle w:val="ListBullet"/>
      </w:pPr>
      <w:r>
        <w:t>Use strong credentials and a dedicated least-privilege ClickHouse user.</w:t>
      </w:r>
    </w:p>
    <w:p>
      <w:pPr>
        <w:pStyle w:val="ListBullet"/>
      </w:pPr>
      <w:r>
        <w:t>Use TLS or a secure private tunnel/VPN where practical.</w:t>
      </w:r>
    </w:p>
    <w:p>
      <w:pPr>
        <w:pStyle w:val="ListBullet"/>
      </w:pPr>
      <w:r>
        <w:t>Keep database credentials only in server-side environment/secrets configuration.</w:t>
      </w:r>
    </w:p>
    <w:p>
      <w:pPr>
        <w:pStyle w:val="ListBullet"/>
      </w:pPr>
      <w:r>
        <w:t>Do not place ClickHouse credentials in frontend code or Git.</w:t>
      </w:r>
    </w:p>
    <w:p>
      <w:pPr>
        <w:pStyle w:val="ListBullet"/>
      </w:pPr>
      <w:r>
        <w:t>Harden SSH access and prefer keys over passwords.</w:t>
      </w:r>
    </w:p>
    <w:p>
      <w:pPr>
        <w:pStyle w:val="ListBullet"/>
      </w:pPr>
      <w:r>
        <w:t>Enable host and cloud firewall rules.</w:t>
      </w:r>
    </w:p>
    <w:p>
      <w:pPr>
        <w:pStyle w:val="ListBullet"/>
      </w:pPr>
      <w:r>
        <w:t>Log administrative and import operations.</w:t>
      </w:r>
    </w:p>
    <w:p>
      <w:pPr>
        <w:pStyle w:val="Heading1"/>
      </w:pPr>
      <w:r>
        <w:t>19. Backup &amp; Recovery</w:t>
      </w:r>
    </w:p>
    <w:p>
      <w:pPr>
        <w:pStyle w:val="ListBullet"/>
      </w:pPr>
      <w:r>
        <w:t>Official Delta monthly CSVs remain a rebuild/reconciliation source.</w:t>
      </w:r>
    </w:p>
    <w:p>
      <w:pPr>
        <w:pStyle w:val="ListBullet"/>
      </w:pPr>
      <w:r>
        <w:t>Maintain periodic ClickHouse backups/snapshots according to storage capacity.</w:t>
      </w:r>
    </w:p>
    <w:p>
      <w:pPr>
        <w:pStyle w:val="ListBullet"/>
      </w:pPr>
      <w:r>
        <w:t>Use Parquet exports where useful as a portable independent archive.</w:t>
      </w:r>
    </w:p>
    <w:p>
      <w:pPr>
        <w:pStyle w:val="ListBullet"/>
      </w:pPr>
      <w:r>
        <w:t>Move/archive older backups to object storage when economically practical.</w:t>
      </w:r>
    </w:p>
    <w:p>
      <w:pPr>
        <w:pStyle w:val="ListBullet"/>
      </w:pPr>
      <w:r>
        <w:t>Test restoration, not only backup creation.</w:t>
      </w:r>
    </w:p>
    <w:p>
      <w:pPr>
        <w:pStyle w:val="ListBullet"/>
      </w:pPr>
      <w:r>
        <w:t>Keep schema/migrations and import metadata in source control / application metadata.</w:t>
      </w:r>
    </w:p>
    <w:p>
      <w:pPr>
        <w:pStyle w:val="Heading1"/>
      </w:pPr>
      <w:r>
        <w:t>20. Observability</w:t>
      </w:r>
    </w:p>
    <w:p>
      <w:pPr>
        <w:pStyle w:val="ListBullet"/>
      </w:pPr>
      <w:r>
        <w:t>WebSocket connected/disconnected state</w:t>
      </w:r>
    </w:p>
    <w:p>
      <w:pPr>
        <w:pStyle w:val="ListBullet"/>
      </w:pPr>
      <w:r>
        <w:t>ticks received per second</w:t>
      </w:r>
    </w:p>
    <w:p>
      <w:pPr>
        <w:pStyle w:val="ListBullet"/>
      </w:pPr>
      <w:r>
        <w:t>ticks persisted per second</w:t>
      </w:r>
    </w:p>
    <w:p>
      <w:pPr>
        <w:pStyle w:val="ListBullet"/>
      </w:pPr>
      <w:r>
        <w:t>received vs persisted counts</w:t>
      </w:r>
    </w:p>
    <w:p>
      <w:pPr>
        <w:pStyle w:val="ListBullet"/>
      </w:pPr>
      <w:r>
        <w:t>buffer size</w:t>
      </w:r>
    </w:p>
    <w:p>
      <w:pPr>
        <w:pStyle w:val="ListBullet"/>
      </w:pPr>
      <w:r>
        <w:t>batch insert latency</w:t>
      </w:r>
    </w:p>
    <w:p>
      <w:pPr>
        <w:pStyle w:val="ListBullet"/>
      </w:pPr>
      <w:r>
        <w:t>batch insert failures</w:t>
      </w:r>
    </w:p>
    <w:p>
      <w:pPr>
        <w:pStyle w:val="ListBullet"/>
      </w:pPr>
      <w:r>
        <w:t>reconnect count</w:t>
      </w:r>
    </w:p>
    <w:p>
      <w:pPr>
        <w:pStyle w:val="ListBullet"/>
      </w:pPr>
      <w:r>
        <w:t>last received trade timestamp</w:t>
      </w:r>
    </w:p>
    <w:p>
      <w:pPr>
        <w:pStyle w:val="ListBullet"/>
      </w:pPr>
      <w:r>
        <w:t>last persisted trade timestamp</w:t>
      </w:r>
    </w:p>
    <w:p>
      <w:pPr>
        <w:pStyle w:val="ListBullet"/>
      </w:pPr>
      <w:r>
        <w:t>potential gap count</w:t>
      </w:r>
    </w:p>
    <w:p>
      <w:pPr>
        <w:pStyle w:val="ListBullet"/>
      </w:pPr>
      <w:r>
        <w:t>ClickHouse disk usage</w:t>
      </w:r>
    </w:p>
    <w:p>
      <w:pPr>
        <w:pStyle w:val="ListBullet"/>
      </w:pPr>
      <w:r>
        <w:t>ClickHouse CPU and memory</w:t>
      </w:r>
    </w:p>
    <w:p>
      <w:pPr>
        <w:pStyle w:val="ListBullet"/>
      </w:pPr>
      <w:r>
        <w:t>query latency</w:t>
      </w:r>
    </w:p>
    <w:p>
      <w:pPr>
        <w:pStyle w:val="ListBullet"/>
      </w:pPr>
      <w:r>
        <w:t>historical import duration</w:t>
      </w:r>
    </w:p>
    <w:p>
      <w:pPr>
        <w:pStyle w:val="ListBullet"/>
      </w:pPr>
      <w:r>
        <w:t>data verification status</w:t>
      </w:r>
    </w:p>
    <w:p>
      <w:pPr>
        <w:pStyle w:val="Heading1"/>
      </w:pPr>
      <w:r>
        <w:t>21. Performance &amp; Resource Validation</w:t>
      </w:r>
    </w:p>
    <w:p>
      <w:r>
        <w:t>Do not freeze resource assumptions from generic internet benchmarks. Validate ClickHouse with real CHIRAX data.</w:t>
      </w:r>
    </w:p>
    <w:p>
      <w:pPr>
        <w:pStyle w:val="ListBullet"/>
      </w:pPr>
      <w:r>
        <w:t>Import the ~7.4M-row BTCUSD August 2026 CSV.</w:t>
      </w:r>
    </w:p>
    <w:p>
      <w:pPr>
        <w:pStyle w:val="ListBullet"/>
      </w:pPr>
      <w:r>
        <w:t>Measure source CSV size versus ClickHouse compressed disk usage.</w:t>
      </w:r>
    </w:p>
    <w:p>
      <w:pPr>
        <w:pStyle w:val="ListBullet"/>
      </w:pPr>
      <w:r>
        <w:t>Measure import duration.</w:t>
      </w:r>
    </w:p>
    <w:p>
      <w:pPr>
        <w:pStyle w:val="ListBullet"/>
      </w:pPr>
      <w:r>
        <w:t>Measure idle ClickHouse memory.</w:t>
      </w:r>
    </w:p>
    <w:p>
      <w:pPr>
        <w:pStyle w:val="ListBullet"/>
      </w:pPr>
      <w:r>
        <w:t>Measure CPU/RAM during one-day and one-month range scans.</w:t>
      </w:r>
    </w:p>
    <w:p>
      <w:pPr>
        <w:pStyle w:val="ListBullet"/>
      </w:pPr>
      <w:r>
        <w:t>Benchmark VP: GROUP BY price, SUM(size).</w:t>
      </w:r>
    </w:p>
    <w:p>
      <w:pPr>
        <w:pStyle w:val="ListBullet"/>
      </w:pPr>
      <w:r>
        <w:t>Benchmark orderflow: GROUP BY price, buyer_role, SUM(size).</w:t>
      </w:r>
    </w:p>
    <w:p>
      <w:pPr>
        <w:pStyle w:val="ListBullet"/>
      </w:pPr>
      <w:r>
        <w:t>Benchmark chronological one-day tick stream for backtesting.</w:t>
      </w:r>
    </w:p>
    <w:p>
      <w:pPr>
        <w:pStyle w:val="ListBullet"/>
      </w:pPr>
      <w:r>
        <w:t>Benchmark live-style batch inserts.</w:t>
      </w:r>
    </w:p>
    <w:p>
      <w:pPr>
        <w:pStyle w:val="ListBullet"/>
      </w:pPr>
      <w:r>
        <w:t>Define operational memory/query limits for the OCI environment.</w:t>
      </w:r>
    </w:p>
    <w:p>
      <w:pPr>
        <w:pStyle w:val="Heading1"/>
      </w:pPr>
      <w:r>
        <w:t>22. Implementation Roadmap</w:t>
      </w:r>
    </w:p>
    <w:tbl>
      <w:tblPr>
        <w:tblW w:type="auto" w:w="0"/>
        <w:jc w:val="center"/>
        <w:tblLook w:firstColumn="1" w:firstRow="1" w:lastColumn="0" w:lastRow="0" w:noHBand="0" w:noVBand="1" w:val="04A0"/>
      </w:tblPr>
      <w:tblGrid>
        <w:gridCol w:w="5040"/>
        <w:gridCol w:w="5040"/>
      </w:tblGrid>
      <w:tr>
        <w:tc>
          <w:tcPr>
            <w:tcW w:type="dxa" w:w="5040"/>
            <w:shd w:fill="0F8A6A"/>
          </w:tcPr>
          <w:p>
            <w:r>
              <w:rPr>
                <w:b/>
                <w:color w:val="FFFFFF"/>
              </w:rPr>
              <w:t>Checkpoint</w:t>
            </w:r>
          </w:p>
        </w:tc>
        <w:tc>
          <w:tcPr>
            <w:tcW w:type="dxa" w:w="5040"/>
            <w:shd w:fill="0F8A6A"/>
          </w:tcPr>
          <w:p>
            <w:r>
              <w:rPr>
                <w:b/>
                <w:color w:val="FFFFFF"/>
              </w:rPr>
              <w:t>Scope</w:t>
            </w:r>
          </w:p>
        </w:tc>
      </w:tr>
      <w:tr>
        <w:tc>
          <w:tcPr>
            <w:tcW w:type="dxa" w:w="5040"/>
          </w:tcPr>
          <w:p>
            <w:r>
              <w:t>TD-1</w:t>
            </w:r>
          </w:p>
        </w:tc>
        <w:tc>
          <w:tcPr>
            <w:tcW w:type="dxa" w:w="5040"/>
          </w:tcPr>
          <w:p>
            <w:r>
              <w:t>Create separate repository and infrastructure foundation</w:t>
            </w:r>
          </w:p>
        </w:tc>
      </w:tr>
      <w:tr>
        <w:tc>
          <w:tcPr>
            <w:tcW w:type="dxa" w:w="5040"/>
          </w:tcPr>
          <w:p>
            <w:r>
              <w:t>TD-2</w:t>
            </w:r>
          </w:p>
        </w:tc>
        <w:tc>
          <w:tcPr>
            <w:tcW w:type="dxa" w:w="5040"/>
          </w:tcPr>
          <w:p>
            <w:r>
              <w:t>Install and secure ClickHouse on OCI</w:t>
            </w:r>
          </w:p>
        </w:tc>
      </w:tr>
      <w:tr>
        <w:tc>
          <w:tcPr>
            <w:tcW w:type="dxa" w:w="5040"/>
          </w:tcPr>
          <w:p>
            <w:r>
              <w:t>TD-3</w:t>
            </w:r>
          </w:p>
        </w:tc>
        <w:tc>
          <w:tcPr>
            <w:tcW w:type="dxa" w:w="5040"/>
          </w:tcPr>
          <w:p>
            <w:r>
              <w:t>Create versioned schema/migrations</w:t>
            </w:r>
          </w:p>
        </w:tc>
      </w:tr>
      <w:tr>
        <w:tc>
          <w:tcPr>
            <w:tcW w:type="dxa" w:w="5040"/>
          </w:tcPr>
          <w:p>
            <w:r>
              <w:t>TD-4</w:t>
            </w:r>
          </w:p>
        </w:tc>
        <w:tc>
          <w:tcPr>
            <w:tcW w:type="dxa" w:w="5040"/>
          </w:tcPr>
          <w:p>
            <w:r>
              <w:t>Import BTCUSD August 2026 historical CSV</w:t>
            </w:r>
          </w:p>
        </w:tc>
      </w:tr>
      <w:tr>
        <w:tc>
          <w:tcPr>
            <w:tcW w:type="dxa" w:w="5040"/>
          </w:tcPr>
          <w:p>
            <w:r>
              <w:t>TD-5</w:t>
            </w:r>
          </w:p>
        </w:tc>
        <w:tc>
          <w:tcPr>
            <w:tcW w:type="dxa" w:w="5040"/>
          </w:tcPr>
          <w:p>
            <w:r>
              <w:t>Validate and benchmark ~7.4M rows</w:t>
            </w:r>
          </w:p>
        </w:tc>
      </w:tr>
      <w:tr>
        <w:tc>
          <w:tcPr>
            <w:tcW w:type="dxa" w:w="5040"/>
          </w:tcPr>
          <w:p>
            <w:r>
              <w:t>TD-6</w:t>
            </w:r>
          </w:p>
        </w:tc>
        <w:tc>
          <w:tcPr>
            <w:tcW w:type="dxa" w:w="5040"/>
          </w:tcPr>
          <w:p>
            <w:r>
              <w:t>Build reusable monthly CSV importer</w:t>
            </w:r>
          </w:p>
        </w:tc>
      </w:tr>
      <w:tr>
        <w:tc>
          <w:tcPr>
            <w:tcW w:type="dxa" w:w="5040"/>
          </w:tcPr>
          <w:p>
            <w:r>
              <w:t>TD-7</w:t>
            </w:r>
          </w:p>
        </w:tc>
        <w:tc>
          <w:tcPr>
            <w:tcW w:type="dxa" w:w="5040"/>
          </w:tcPr>
          <w:p>
            <w:r>
              <w:t>Backfill BTCUSD history</w:t>
            </w:r>
          </w:p>
        </w:tc>
      </w:tr>
      <w:tr>
        <w:tc>
          <w:tcPr>
            <w:tcW w:type="dxa" w:w="5040"/>
          </w:tcPr>
          <w:p>
            <w:r>
              <w:t>TD-8</w:t>
            </w:r>
          </w:p>
        </w:tc>
        <w:tc>
          <w:tcPr>
            <w:tcW w:type="dxa" w:w="5040"/>
          </w:tcPr>
          <w:p>
            <w:r>
              <w:t>Build BTCUSD live trades WebSocket collector</w:t>
            </w:r>
          </w:p>
        </w:tc>
      </w:tr>
      <w:tr>
        <w:tc>
          <w:tcPr>
            <w:tcW w:type="dxa" w:w="5040"/>
          </w:tcPr>
          <w:p>
            <w:r>
              <w:t>TD-9</w:t>
            </w:r>
          </w:p>
        </w:tc>
        <w:tc>
          <w:tcPr>
            <w:tcW w:type="dxa" w:w="5040"/>
          </w:tcPr>
          <w:p>
            <w:r>
              <w:t>Implement buffered ClickHouse persistence</w:t>
            </w:r>
          </w:p>
        </w:tc>
      </w:tr>
      <w:tr>
        <w:tc>
          <w:tcPr>
            <w:tcW w:type="dxa" w:w="5040"/>
          </w:tcPr>
          <w:p>
            <w:r>
              <w:t>TD-10</w:t>
            </w:r>
          </w:p>
        </w:tc>
        <w:tc>
          <w:tcPr>
            <w:tcW w:type="dxa" w:w="5040"/>
          </w:tcPr>
          <w:p>
            <w:r>
              <w:t>Implement reconnect, health, gap and coverage tracking</w:t>
            </w:r>
          </w:p>
        </w:tc>
      </w:tr>
      <w:tr>
        <w:tc>
          <w:tcPr>
            <w:tcW w:type="dxa" w:w="5040"/>
          </w:tcPr>
          <w:p>
            <w:r>
              <w:t>TD-11</w:t>
            </w:r>
          </w:p>
        </w:tc>
        <w:tc>
          <w:tcPr>
            <w:tcW w:type="dxa" w:w="5040"/>
          </w:tcPr>
          <w:p>
            <w:r>
              <w:t>Verify CSV-to-live continuity</w:t>
            </w:r>
          </w:p>
        </w:tc>
      </w:tr>
      <w:tr>
        <w:tc>
          <w:tcPr>
            <w:tcW w:type="dxa" w:w="5040"/>
          </w:tcPr>
          <w:p>
            <w:r>
              <w:t>TD-12</w:t>
            </w:r>
          </w:p>
        </w:tc>
        <w:tc>
          <w:tcPr>
            <w:tcW w:type="dxa" w:w="5040"/>
          </w:tcPr>
          <w:p>
            <w:r>
              <w:t>Add ETHUSD</w:t>
            </w:r>
          </w:p>
        </w:tc>
      </w:tr>
      <w:tr>
        <w:tc>
          <w:tcPr>
            <w:tcW w:type="dxa" w:w="5040"/>
          </w:tcPr>
          <w:p>
            <w:r>
              <w:t>TD-13</w:t>
            </w:r>
          </w:p>
        </w:tc>
        <w:tc>
          <w:tcPr>
            <w:tcW w:type="dxa" w:w="5040"/>
          </w:tcPr>
          <w:p>
            <w:r>
              <w:t>Add SOLUSD</w:t>
            </w:r>
          </w:p>
        </w:tc>
      </w:tr>
      <w:tr>
        <w:tc>
          <w:tcPr>
            <w:tcW w:type="dxa" w:w="5040"/>
          </w:tcPr>
          <w:p>
            <w:r>
              <w:t>TD-14</w:t>
            </w:r>
          </w:p>
        </w:tc>
        <w:tc>
          <w:tcPr>
            <w:tcW w:type="dxa" w:w="5040"/>
          </w:tcPr>
          <w:p>
            <w:r>
              <w:t>Add PAXG</w:t>
            </w:r>
          </w:p>
        </w:tc>
      </w:tr>
      <w:tr>
        <w:tc>
          <w:tcPr>
            <w:tcW w:type="dxa" w:w="5040"/>
          </w:tcPr>
          <w:p>
            <w:r>
              <w:t>TD-15</w:t>
            </w:r>
          </w:p>
        </w:tc>
        <w:tc>
          <w:tcPr>
            <w:tcW w:type="dxa" w:w="5040"/>
          </w:tcPr>
          <w:p>
            <w:r>
              <w:t>Build derived trade and price-level aggregates</w:t>
            </w:r>
          </w:p>
        </w:tc>
      </w:tr>
      <w:tr>
        <w:tc>
          <w:tcPr>
            <w:tcW w:type="dxa" w:w="5040"/>
          </w:tcPr>
          <w:p>
            <w:r>
              <w:t>TD-16</w:t>
            </w:r>
          </w:p>
        </w:tc>
        <w:tc>
          <w:tcPr>
            <w:tcW w:type="dxa" w:w="5040"/>
          </w:tcPr>
          <w:p>
            <w:r>
              <w:t>Integrate trusted access from main CHIRAX</w:t>
            </w:r>
          </w:p>
        </w:tc>
      </w:tr>
      <w:tr>
        <w:tc>
          <w:tcPr>
            <w:tcW w:type="dxa" w:w="5040"/>
          </w:tcPr>
          <w:p>
            <w:r>
              <w:t>TD-17</w:t>
            </w:r>
          </w:p>
        </w:tc>
        <w:tc>
          <w:tcPr>
            <w:tcW w:type="dxa" w:w="5040"/>
          </w:tcPr>
          <w:p>
            <w:r>
              <w:t>Integrate high-fidelity backtesting</w:t>
            </w:r>
          </w:p>
        </w:tc>
      </w:tr>
      <w:tr>
        <w:tc>
          <w:tcPr>
            <w:tcW w:type="dxa" w:w="5040"/>
          </w:tcPr>
          <w:p>
            <w:r>
              <w:t>TD-18</w:t>
            </w:r>
          </w:p>
        </w:tc>
        <w:tc>
          <w:tcPr>
            <w:tcW w:type="dxa" w:w="5040"/>
          </w:tcPr>
          <w:p>
            <w:r>
              <w:t>Migrate/validate VP and VWAP against tick data</w:t>
            </w:r>
          </w:p>
        </w:tc>
      </w:tr>
      <w:tr>
        <w:tc>
          <w:tcPr>
            <w:tcW w:type="dxa" w:w="5040"/>
          </w:tcPr>
          <w:p>
            <w:r>
              <w:t>TD-19</w:t>
            </w:r>
          </w:p>
        </w:tc>
        <w:tc>
          <w:tcPr>
            <w:tcW w:type="dxa" w:w="5040"/>
          </w:tcPr>
          <w:p>
            <w:r>
              <w:t>Implement trade-based CVD / footprint / imbalance analytics</w:t>
            </w:r>
          </w:p>
        </w:tc>
      </w:tr>
    </w:tbl>
    <w:p>
      <w:pPr>
        <w:pStyle w:val="Heading1"/>
      </w:pPr>
      <w:r>
        <w:t>23. Acceptance Criteria</w:t>
      </w:r>
    </w:p>
    <w:p>
      <w:pPr>
        <w:pStyle w:val="ListBullet"/>
      </w:pPr>
      <w:r>
        <w:t>BTCUSD August 2026 historical file imports successfully without silent row loss.</w:t>
      </w:r>
    </w:p>
    <w:p>
      <w:pPr>
        <w:pStyle w:val="ListBullet"/>
      </w:pPr>
      <w:r>
        <w:t>Microsecond timestamp precision is preserved.</w:t>
      </w:r>
    </w:p>
    <w:p>
      <w:pPr>
        <w:pStyle w:val="ListBullet"/>
      </w:pPr>
      <w:r>
        <w:t>Historical CSV and ClickHouse row counts/first-last timestamps reconcile.</w:t>
      </w:r>
    </w:p>
    <w:p>
      <w:pPr>
        <w:pStyle w:val="ListBullet"/>
      </w:pPr>
      <w:r>
        <w:t>Live WebSocket ticks are persisted continuously using batch inserts.</w:t>
      </w:r>
    </w:p>
    <w:p>
      <w:pPr>
        <w:pStyle w:val="ListBullet"/>
      </w:pPr>
      <w:r>
        <w:t>Collector reconnects without manual intervention.</w:t>
      </w:r>
    </w:p>
    <w:p>
      <w:pPr>
        <w:pStyle w:val="ListBullet"/>
      </w:pPr>
      <w:r>
        <w:t>Potential gaps are detected and recorded.</w:t>
      </w:r>
    </w:p>
    <w:p>
      <w:pPr>
        <w:pStyle w:val="ListBullet"/>
      </w:pPr>
      <w:r>
        <w:t>Historical/live overlap can be verified.</w:t>
      </w:r>
    </w:p>
    <w:p>
      <w:pPr>
        <w:pStyle w:val="ListBullet"/>
      </w:pPr>
      <w:r>
        <w:t>Official monthly files can later reconcile/repair live-recorded periods.</w:t>
      </w:r>
    </w:p>
    <w:p>
      <w:pPr>
        <w:pStyle w:val="ListBullet"/>
      </w:pPr>
      <w:r>
        <w:t>ETHUSD, SOLUSD, and PAXG can use the same ingestion architecture.</w:t>
      </w:r>
    </w:p>
    <w:p>
      <w:pPr>
        <w:pStyle w:val="ListBullet"/>
      </w:pPr>
      <w:r>
        <w:t>Backtesting can consume chronological tick ranges.</w:t>
      </w:r>
    </w:p>
    <w:p>
      <w:pPr>
        <w:pStyle w:val="ListBullet"/>
      </w:pPr>
      <w:r>
        <w:t>VP/VWAP/orderflow calculations can consume raw or derived tick data.</w:t>
      </w:r>
    </w:p>
    <w:p>
      <w:pPr>
        <w:pStyle w:val="ListBullet"/>
      </w:pPr>
      <w:r>
        <w:t>ClickHouse remains within agreed OCI CPU/RAM/disk limits under single-user V1 workloads.</w:t>
      </w:r>
    </w:p>
    <w:p>
      <w:pPr>
        <w:pStyle w:val="ListBullet"/>
      </w:pPr>
      <w:r>
        <w:t>Main CHIRAX live automation does not depend on a per-tick ClickHouse query.</w:t>
      </w:r>
    </w:p>
    <w:p>
      <w:pPr>
        <w:pStyle w:val="Heading1"/>
      </w:pPr>
      <w:r>
        <w:t>24. V1 Out of Scope</w:t>
      </w:r>
    </w:p>
    <w:p>
      <w:pPr>
        <w:pStyle w:val="ListBullet"/>
      </w:pPr>
      <w:r>
        <w:t>Historical full-depth order-book reconstruction unless a reliable historical L2 source is added.</w:t>
      </w:r>
    </w:p>
    <w:p>
      <w:pPr>
        <w:pStyle w:val="ListBullet"/>
      </w:pPr>
      <w:r>
        <w:t>Ultra-low-latency HFT/market-making infrastructure.</w:t>
      </w:r>
    </w:p>
    <w:p>
      <w:pPr>
        <w:pStyle w:val="ListBullet"/>
      </w:pPr>
      <w:r>
        <w:t>Kafka/Redpanda unless future scale creates a real need.</w:t>
      </w:r>
    </w:p>
    <w:p>
      <w:pPr>
        <w:pStyle w:val="ListBullet"/>
      </w:pPr>
      <w:r>
        <w:t>Distributed ClickHouse cluster for the initial single-user V1.</w:t>
      </w:r>
    </w:p>
    <w:p>
      <w:pPr>
        <w:pStyle w:val="ListBullet"/>
      </w:pPr>
      <w:r>
        <w:t>Public multi-tenant market-data APIs.</w:t>
      </w:r>
    </w:p>
    <w:p>
      <w:pPr>
        <w:pStyle w:val="ListBullet"/>
      </w:pPr>
      <w:r>
        <w:t>Replacing the existing main CHIRAX PostgreSQL/Timescale application database.</w:t>
      </w:r>
    </w:p>
    <w:p>
      <w:pPr>
        <w:pStyle w:val="ListBullet"/>
      </w:pPr>
      <w:r>
        <w:t>Replacing native Delta candles for ordinary charting and strategy timeframe bars.</w:t>
      </w:r>
    </w:p>
    <w:p>
      <w:pPr>
        <w:pStyle w:val="Heading1"/>
      </w:pPr>
      <w:r>
        <w:t>25. Future Evolution</w:t>
      </w:r>
    </w:p>
    <w:p>
      <w:r>
        <w:t>If CHIRAX proves profitable and later becomes a public product, this subsystem can scale independently.</w:t>
      </w:r>
    </w:p>
    <w:p>
      <w:pPr>
        <w:pStyle w:val="ListBullet"/>
      </w:pPr>
      <w:r>
        <w:t>Move ClickHouse to stronger paid infrastructure.</w:t>
      </w:r>
    </w:p>
    <w:p>
      <w:pPr>
        <w:pStyle w:val="ListBullet"/>
      </w:pPr>
      <w:r>
        <w:t>Increase CPU, RAM, and NVMe storage.</w:t>
      </w:r>
    </w:p>
    <w:p>
      <w:pPr>
        <w:pStyle w:val="ListBullet"/>
      </w:pPr>
      <w:r>
        <w:t>Add object-storage-backed archival strategy.</w:t>
      </w:r>
    </w:p>
    <w:p>
      <w:pPr>
        <w:pStyle w:val="ListBullet"/>
      </w:pPr>
      <w:r>
        <w:t>Add high-concurrency analytical APIs.</w:t>
      </w:r>
    </w:p>
    <w:p>
      <w:pPr>
        <w:pStyle w:val="ListBullet"/>
      </w:pPr>
      <w:r>
        <w:t>Introduce message streaming only if multiple consumers and scale justify it.</w:t>
      </w:r>
    </w:p>
    <w:p>
      <w:pPr>
        <w:pStyle w:val="ListBullet"/>
      </w:pPr>
      <w:r>
        <w:t>Collect and retain live L2/order-book data for future advanced research.</w:t>
      </w:r>
    </w:p>
    <w:p>
      <w:pPr>
        <w:pStyle w:val="ListBullet"/>
      </w:pPr>
      <w:r>
        <w:t>Consider ClickHouse replication/clustering only when availability or scale requires it.</w:t>
      </w:r>
    </w:p>
    <w:p>
      <w:pPr>
        <w:pStyle w:val="ListBullet"/>
      </w:pPr>
      <w:r>
        <w:t>Retain Parquet as a portable archive/migration format.</w:t>
      </w:r>
    </w:p>
    <w:p>
      <w:pPr>
        <w:pStyle w:val="Heading1"/>
      </w:pPr>
      <w:r>
        <w:t>26. Recommended Repository Structure</w:t>
      </w:r>
    </w:p>
    <w:p>
      <w:pPr>
        <w:pStyle w:val="CodeBlock"/>
      </w:pPr>
      <w:r>
        <w:rPr>
          <w:rFonts w:ascii="Consolas" w:hAnsi="Consolas"/>
        </w:rPr>
        <w:t>chirax-market-data/</w:t>
        <w:br/>
        <w:t>|</w:t>
        <w:br/>
        <w:t>+-- src/</w:t>
        <w:br/>
        <w:t>|   +-- config/</w:t>
        <w:br/>
        <w:t>|   +-- delta/</w:t>
        <w:br/>
        <w:t>|   |   +-- tradesWebSocket.js</w:t>
        <w:br/>
        <w:t>|   |   +-- normalizer.js</w:t>
        <w:br/>
        <w:t>|   +-- clickhouse/</w:t>
        <w:br/>
        <w:t>|   |   +-- client.js</w:t>
        <w:br/>
        <w:t>|   |   +-- migrations/</w:t>
        <w:br/>
        <w:t>|   |   +-- repositories/</w:t>
        <w:br/>
        <w:t>|   +-- ingestion/</w:t>
        <w:br/>
        <w:t>|   |   +-- historical/</w:t>
        <w:br/>
        <w:t>|   |   +-- live/</w:t>
        <w:br/>
        <w:t>|   +-- quality/</w:t>
        <w:br/>
        <w:t>|   |   +-- coverage.js</w:t>
        <w:br/>
        <w:t>|   |   +-- gaps.js</w:t>
        <w:br/>
        <w:t>|   |   +-- reconciliation.js</w:t>
        <w:br/>
        <w:t>|   +-- analytics/</w:t>
        <w:br/>
        <w:t>|   +-- index.js</w:t>
        <w:br/>
        <w:t>|</w:t>
        <w:br/>
        <w:t>+-- scripts/</w:t>
        <w:br/>
        <w:t>|   +-- import-month.js</w:t>
        <w:br/>
        <w:t>|   +-- verify-month.js</w:t>
        <w:br/>
        <w:t>|   +-- benchmark.js</w:t>
        <w:br/>
        <w:t>|</w:t>
        <w:br/>
        <w:t>+-- docs/</w:t>
        <w:br/>
        <w:t>|   +-- CHIRAX_MARKET_DATA_SPEC_V1.0.md</w:t>
        <w:br/>
        <w:t>|</w:t>
        <w:br/>
        <w:t>+-- infrastructure/</w:t>
        <w:br/>
        <w:t>|   +-- docker/</w:t>
        <w:br/>
        <w:t>|</w:t>
        <w:br/>
        <w:t>+-- test/</w:t>
        <w:br/>
        <w:t>+-- .env.example</w:t>
        <w:br/>
        <w:t>+-- .gitignore</w:t>
        <w:br/>
        <w:t>+-- package.json</w:t>
        <w:br/>
        <w:t>+-- README.md</w:t>
        <w:br/>
      </w:r>
    </w:p>
    <w:p>
      <w:pPr>
        <w:pStyle w:val="Heading1"/>
      </w:pPr>
      <w:r>
        <w:t>27. Technology Constraints</w:t>
      </w:r>
    </w:p>
    <w:p>
      <w:pPr>
        <w:pStyle w:val="ListBullet"/>
      </w:pPr>
      <w:r>
        <w:t>JavaScript only; no TypeScript.</w:t>
      </w:r>
    </w:p>
    <w:p>
      <w:pPr>
        <w:pStyle w:val="ListBullet"/>
      </w:pPr>
      <w:r>
        <w:t>Node.js for collectors/importers/workers unless a proven need requires another language later.</w:t>
      </w:r>
    </w:p>
    <w:p>
      <w:pPr>
        <w:pStyle w:val="ListBullet"/>
      </w:pPr>
      <w:r>
        <w:t>ClickHouse as the primary tick datastore.</w:t>
      </w:r>
    </w:p>
    <w:p>
      <w:pPr>
        <w:pStyle w:val="ListBullet"/>
      </w:pPr>
      <w:r>
        <w:t>PostgreSQL/Timescale remains the main CHIRAX application/candle datastore.</w:t>
      </w:r>
    </w:p>
    <w:p>
      <w:pPr>
        <w:pStyle w:val="ListBullet"/>
      </w:pPr>
      <w:r>
        <w:t>Redis remains for sessions, queues, ephemeral state, and caching.</w:t>
      </w:r>
    </w:p>
    <w:p>
      <w:pPr>
        <w:pStyle w:val="ListBullet"/>
      </w:pPr>
      <w:r>
        <w:t>No direct browser access to ClickHouse.</w:t>
      </w:r>
    </w:p>
    <w:p>
      <w:pPr>
        <w:pStyle w:val="ListBullet"/>
      </w:pPr>
      <w:r>
        <w:t>No unnecessary new technologies until justified by measured requirements.</w:t>
      </w:r>
    </w:p>
    <w:p>
      <w:pPr>
        <w:pStyle w:val="Heading1"/>
      </w:pPr>
      <w:r>
        <w:t>28. Final V1 Principle</w:t>
      </w:r>
    </w:p>
    <w:tbl>
      <w:tblPr>
        <w:tblW w:type="auto" w:w="0"/>
        <w:jc w:val="center"/>
        <w:tblLook w:firstColumn="1" w:firstRow="1" w:lastColumn="0" w:lastRow="0" w:noHBand="0" w:noVBand="1" w:val="04A0"/>
      </w:tblPr>
      <w:tblGrid>
        <w:gridCol w:w="10080"/>
      </w:tblGrid>
      <w:tr>
        <w:tc>
          <w:tcPr>
            <w:tcW w:type="dxa" w:w="10080"/>
            <w:shd w:fill="EAF7F2"/>
            <w:tcBorders>
              <w:top w:val="single" w:sz="8" w:color="0F8A6A"/>
              <w:left w:val="single" w:sz="8" w:color="0F8A6A"/>
              <w:bottom w:val="single" w:sz="8" w:color="0F8A6A"/>
              <w:right w:val="single" w:sz="8" w:color="0F8A6A"/>
            </w:tcBorders>
          </w:tcPr>
          <w:p>
            <w:r>
              <w:rPr>
                <w:b/>
                <w:color w:val="0F8A6A"/>
              </w:rPr>
              <w:t>Authoritative Principle</w:t>
              <w:br/>
            </w:r>
            <w:r>
              <w:t>Official Delta historical tick CSVs bootstrap and verify the past. Delta live trades WebSocket continuously extends the tick history into the future. Both sources are normalized into one CHIRAX tick model and persisted in ClickHouse. Live strategy automation consumes the incoming market stream directly, while ClickHouse provides durable high-volume history for research, replay, VP, VWAP, trade-based orderflow, and high-fidelity backtesting.</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CHIRAX Market Data Platform — Product &amp; Technical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42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8A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4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42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88" w:right="288"/>
    </w:pPr>
    <w:rPr>
      <w:rFonts w:ascii="Consolas" w:hAnsi="Consolas"/>
      <w:color w:val="1734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