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263DB">
      <w:pPr>
        <w:rPr>
          <w:b/>
          <w:bCs/>
        </w:rPr>
      </w:pPr>
      <w:r>
        <w:rPr>
          <w:b/>
          <w:bCs/>
        </w:rPr>
        <w:t>Insights</w:t>
      </w:r>
    </w:p>
    <w:p w14:paraId="34BDBD4C">
      <w:pPr>
        <w:numPr>
          <w:ilvl w:val="0"/>
          <w:numId w:val="1"/>
        </w:numPr>
      </w:pPr>
      <w:r>
        <w:rPr>
          <w:b/>
          <w:bCs/>
        </w:rPr>
        <w:t>Electronics show sharp volatility across segments</w:t>
      </w:r>
    </w:p>
    <w:p w14:paraId="6E13E64C">
      <w:pPr>
        <w:numPr>
          <w:ilvl w:val="1"/>
          <w:numId w:val="1"/>
        </w:numPr>
      </w:pPr>
      <w:r>
        <w:t>Regular customers had the highest price and units sold in 2023 but dropped steeply by 2025.</w:t>
      </w:r>
    </w:p>
    <w:p w14:paraId="0C76DBB6">
      <w:pPr>
        <w:numPr>
          <w:ilvl w:val="1"/>
          <w:numId w:val="1"/>
        </w:numPr>
      </w:pPr>
      <w:r>
        <w:t>Occasional and Premium segments remained more stable, suggesting Regular buyers are highly price-</w:t>
      </w:r>
      <w:r>
        <w:rPr>
          <w:rFonts w:hint="default"/>
          <w:lang w:val="en-US"/>
        </w:rPr>
        <w:t>in</w:t>
      </w:r>
      <w:bookmarkStart w:id="0" w:name="_GoBack"/>
      <w:bookmarkEnd w:id="0"/>
      <w:r>
        <w:t>sensitive.</w:t>
      </w:r>
    </w:p>
    <w:p w14:paraId="46D79063">
      <w:pPr>
        <w:numPr>
          <w:ilvl w:val="0"/>
          <w:numId w:val="1"/>
        </w:numPr>
      </w:pPr>
      <w:r>
        <w:rPr>
          <w:b/>
          <w:bCs/>
        </w:rPr>
        <w:t>Premium segment drives growth in Toys and Fashion</w:t>
      </w:r>
    </w:p>
    <w:p w14:paraId="56CAF371">
      <w:pPr>
        <w:numPr>
          <w:ilvl w:val="1"/>
          <w:numId w:val="1"/>
        </w:numPr>
      </w:pPr>
      <w:r>
        <w:t>Premium customers consistently lead in both price and units sold for Toys and Fashion, especially in 2024.</w:t>
      </w:r>
    </w:p>
    <w:p w14:paraId="42EA08D9">
      <w:pPr>
        <w:numPr>
          <w:ilvl w:val="1"/>
          <w:numId w:val="1"/>
        </w:numPr>
      </w:pPr>
      <w:r>
        <w:t>This indicates strong brand affinity and willingness to pay higher prices for lifestyle categories.</w:t>
      </w:r>
    </w:p>
    <w:p w14:paraId="27623BA9">
      <w:pPr>
        <w:numPr>
          <w:ilvl w:val="0"/>
          <w:numId w:val="1"/>
        </w:numPr>
      </w:pPr>
      <w:r>
        <w:rPr>
          <w:b/>
          <w:bCs/>
        </w:rPr>
        <w:t>Sports and Home Decor show synchronized decline</w:t>
      </w:r>
    </w:p>
    <w:p w14:paraId="7E97792A">
      <w:pPr>
        <w:numPr>
          <w:ilvl w:val="1"/>
          <w:numId w:val="1"/>
        </w:numPr>
      </w:pPr>
      <w:r>
        <w:t>All segments show a downward trend in both price and units sold by 2025.</w:t>
      </w:r>
    </w:p>
    <w:p w14:paraId="141037FF">
      <w:pPr>
        <w:numPr>
          <w:ilvl w:val="1"/>
          <w:numId w:val="1"/>
        </w:numPr>
      </w:pPr>
      <w:r>
        <w:t>This could reflect seasonal demand or reduced marketing focus on these categories.</w:t>
      </w:r>
    </w:p>
    <w:p w14:paraId="763E9C02">
      <w:pPr>
        <w:rPr>
          <w:b/>
          <w:bCs/>
        </w:rPr>
      </w:pPr>
      <w:r>
        <w:rPr>
          <w:b/>
          <w:bCs/>
        </w:rPr>
        <w:t>Actions</w:t>
      </w:r>
    </w:p>
    <w:p w14:paraId="5AF3FDA6">
      <w:pPr>
        <w:numPr>
          <w:ilvl w:val="0"/>
          <w:numId w:val="2"/>
        </w:numPr>
      </w:pPr>
      <w:r>
        <w:rPr>
          <w:b/>
          <w:bCs/>
        </w:rPr>
        <w:t>Re-engage Regular customers in Electronics and Sports</w:t>
      </w:r>
    </w:p>
    <w:p w14:paraId="5D56AC22">
      <w:pPr>
        <w:numPr>
          <w:ilvl w:val="1"/>
          <w:numId w:val="2"/>
        </w:numPr>
      </w:pPr>
      <w:r>
        <w:t>Launch loyalty discounts or bundle offers to recover lost engagement and stabilize sales.</w:t>
      </w:r>
    </w:p>
    <w:p w14:paraId="61168498">
      <w:pPr>
        <w:numPr>
          <w:ilvl w:val="0"/>
          <w:numId w:val="2"/>
        </w:numPr>
      </w:pPr>
      <w:r>
        <w:rPr>
          <w:b/>
          <w:bCs/>
        </w:rPr>
        <w:t>Expand Premium-focused campaigns for Toys and Fashion</w:t>
      </w:r>
    </w:p>
    <w:p w14:paraId="37E998CE">
      <w:pPr>
        <w:numPr>
          <w:ilvl w:val="1"/>
          <w:numId w:val="2"/>
        </w:numPr>
      </w:pPr>
      <w:r>
        <w:t>Use targeted ads and influencer collaborations to capitalize on Premium customers’ higher spending power.</w:t>
      </w:r>
    </w:p>
    <w:p w14:paraId="4847CD05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7C516C"/>
    <w:multiLevelType w:val="multilevel"/>
    <w:tmpl w:val="307C51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4587036"/>
    <w:multiLevelType w:val="multilevel"/>
    <w:tmpl w:val="545870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42"/>
    <w:rsid w:val="0012213E"/>
    <w:rsid w:val="00186BC1"/>
    <w:rsid w:val="00260D04"/>
    <w:rsid w:val="006730C5"/>
    <w:rsid w:val="006D7142"/>
    <w:rsid w:val="009D3858"/>
    <w:rsid w:val="00CB38C5"/>
    <w:rsid w:val="00F31D85"/>
    <w:rsid w:val="00F505F9"/>
    <w:rsid w:val="00F9495D"/>
    <w:rsid w:val="13F0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882</Characters>
  <Lines>7</Lines>
  <Paragraphs>2</Paragraphs>
  <TotalTime>41</TotalTime>
  <ScaleCrop>false</ScaleCrop>
  <LinksUpToDate>false</LinksUpToDate>
  <CharactersWithSpaces>1017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2026-05-02T01:00:00Z</dcterms:created>
  <dc:creator>Dell .</dc:creator>
  <cp:lastModifiedBy>Murali Raju</cp:lastModifiedBy>
  <dcterms:modified xsi:type="dcterms:W3CDTF">2026-05-02T06:17:08Z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eyJoZGlkIjoiNDBhYWE1ZDlkYjMyOGRjNTVmY2VlNjViNDE0MjcxYTkiLCJ1c2VySWQiOiI1NjcyNDQ3NzgyNDMifQ==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F8E39A78E85946A581D209A973B957E9_12</vt:lpwstr>
  </property>
</Properties>
</file>