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3 — STATISTICAL ANALYSIS &amp; HYPOTHESIS TESTING</w:t>
      </w:r>
    </w:p>
    <w:p>
      <w:pPr>
        <w:jc w:val="center"/>
      </w:pPr>
      <w:r>
        <w:rPr>
          <w:b/>
          <w:sz w:val="34"/>
        </w:rPr>
        <w:t>E-Commerce Discount Campaign: A/B Testing &amp; Business Impact</w:t>
      </w:r>
    </w:p>
    <w:p>
      <w:pPr>
        <w:jc w:val="center"/>
      </w:pPr>
      <w:r>
        <w:rPr>
          <w:sz w:val="24"/>
        </w:rPr>
        <w:br/>
        <w:t>Internship Project Report</w:t>
        <w:br/>
      </w:r>
      <w:r>
        <w:rPr>
          <w:sz w:val="22"/>
        </w:rPr>
        <w:t>Python • Pandas • SciPy • Statsmodels • Matplotlib</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8"/>
          </w:tcPr>
          <w:p>
            <w:r/>
            <w:r>
              <w:rPr>
                <w:rFonts w:ascii="Arial" w:hAnsi="Arial"/>
                <w:b/>
                <w:color w:val="FFFFFF"/>
                <w:sz w:val="18"/>
              </w:rPr>
              <w:t>Project Element</w:t>
            </w:r>
          </w:p>
        </w:tc>
        <w:tc>
          <w:tcPr>
            <w:tcW w:type="dxa" w:w="4968"/>
            <w:vAlign w:val="center"/>
            <w:shd w:fill="1F4E78"/>
          </w:tcPr>
          <w:p>
            <w:r/>
            <w:r>
              <w:rPr>
                <w:rFonts w:ascii="Arial" w:hAnsi="Arial"/>
                <w:b/>
                <w:color w:val="FFFFFF"/>
                <w:sz w:val="18"/>
              </w:rPr>
              <w:t>Details</w:t>
            </w:r>
          </w:p>
        </w:tc>
      </w:tr>
      <w:tr>
        <w:tc>
          <w:tcPr>
            <w:tcW w:type="dxa" w:w="4968"/>
            <w:vAlign w:val="center"/>
          </w:tcPr>
          <w:p>
            <w:r/>
            <w:r>
              <w:rPr>
                <w:rFonts w:ascii="Arial" w:hAnsi="Arial"/>
                <w:b w:val="0"/>
                <w:sz w:val="18"/>
              </w:rPr>
              <w:t>Business problem</w:t>
            </w:r>
          </w:p>
        </w:tc>
        <w:tc>
          <w:tcPr>
            <w:tcW w:type="dxa" w:w="4968"/>
            <w:vAlign w:val="center"/>
          </w:tcPr>
          <w:p>
            <w:r/>
            <w:r>
              <w:rPr>
                <w:rFonts w:ascii="Arial" w:hAnsi="Arial"/>
                <w:b w:val="0"/>
                <w:sz w:val="18"/>
              </w:rPr>
              <w:t>Measure whether discounts improve conversion and whether the uplift is economically meaningful.</w:t>
            </w:r>
          </w:p>
        </w:tc>
      </w:tr>
      <w:tr>
        <w:tc>
          <w:tcPr>
            <w:tcW w:type="dxa" w:w="4968"/>
            <w:vAlign w:val="center"/>
          </w:tcPr>
          <w:p>
            <w:r/>
            <w:r>
              <w:rPr>
                <w:rFonts w:ascii="Arial" w:hAnsi="Arial"/>
                <w:b w:val="0"/>
                <w:sz w:val="18"/>
              </w:rPr>
              <w:t>Dataset</w:t>
            </w:r>
          </w:p>
        </w:tc>
        <w:tc>
          <w:tcPr>
            <w:tcW w:type="dxa" w:w="4968"/>
            <w:vAlign w:val="center"/>
          </w:tcPr>
          <w:p>
            <w:r/>
            <w:r>
              <w:rPr>
                <w:rFonts w:ascii="Arial" w:hAnsi="Arial"/>
                <w:b w:val="0"/>
                <w:sz w:val="18"/>
              </w:rPr>
              <w:t>Self-generated randomized e-commerce experiment; 1,800 users.</w:t>
            </w:r>
          </w:p>
        </w:tc>
      </w:tr>
      <w:tr>
        <w:tc>
          <w:tcPr>
            <w:tcW w:type="dxa" w:w="4968"/>
            <w:vAlign w:val="center"/>
          </w:tcPr>
          <w:p>
            <w:r/>
            <w:r>
              <w:rPr>
                <w:rFonts w:ascii="Arial" w:hAnsi="Arial"/>
                <w:b w:val="0"/>
                <w:sz w:val="18"/>
              </w:rPr>
              <w:t>Primary KPI</w:t>
            </w:r>
          </w:p>
        </w:tc>
        <w:tc>
          <w:tcPr>
            <w:tcW w:type="dxa" w:w="4968"/>
            <w:vAlign w:val="center"/>
          </w:tcPr>
          <w:p>
            <w:r/>
            <w:r>
              <w:rPr>
                <w:rFonts w:ascii="Arial" w:hAnsi="Arial"/>
                <w:b w:val="0"/>
                <w:sz w:val="18"/>
              </w:rPr>
              <w:t>Conversion rate.</w:t>
            </w:r>
          </w:p>
        </w:tc>
      </w:tr>
      <w:tr>
        <w:tc>
          <w:tcPr>
            <w:tcW w:type="dxa" w:w="4968"/>
            <w:vAlign w:val="center"/>
          </w:tcPr>
          <w:p>
            <w:r/>
            <w:r>
              <w:rPr>
                <w:rFonts w:ascii="Arial" w:hAnsi="Arial"/>
                <w:b w:val="0"/>
                <w:sz w:val="18"/>
              </w:rPr>
              <w:t>Secondary KPIs</w:t>
            </w:r>
          </w:p>
        </w:tc>
        <w:tc>
          <w:tcPr>
            <w:tcW w:type="dxa" w:w="4968"/>
            <w:vAlign w:val="center"/>
          </w:tcPr>
          <w:p>
            <w:r/>
            <w:r>
              <w:rPr>
                <w:rFonts w:ascii="Arial" w:hAnsi="Arial"/>
                <w:b w:val="0"/>
                <w:sz w:val="18"/>
              </w:rPr>
              <w:t>Average order value and net revenue per user.</w:t>
            </w:r>
          </w:p>
        </w:tc>
      </w:tr>
      <w:tr>
        <w:tc>
          <w:tcPr>
            <w:tcW w:type="dxa" w:w="4968"/>
            <w:vAlign w:val="center"/>
          </w:tcPr>
          <w:p>
            <w:r/>
            <w:r>
              <w:rPr>
                <w:rFonts w:ascii="Arial" w:hAnsi="Arial"/>
                <w:b w:val="0"/>
                <w:sz w:val="18"/>
              </w:rPr>
              <w:t>Tests</w:t>
            </w:r>
          </w:p>
        </w:tc>
        <w:tc>
          <w:tcPr>
            <w:tcW w:type="dxa" w:w="4968"/>
            <w:vAlign w:val="center"/>
          </w:tcPr>
          <w:p>
            <w:r/>
            <w:r>
              <w:rPr>
                <w:rFonts w:ascii="Arial" w:hAnsi="Arial"/>
                <w:b w:val="0"/>
                <w:sz w:val="18"/>
              </w:rPr>
              <w:t>Chi-square, two-proportion z-tests, ANOVA, Tukey HSD, Welch’s t-test, logistic GLM.</w:t>
            </w:r>
          </w:p>
        </w:tc>
      </w:tr>
      <w:tr>
        <w:tc>
          <w:tcPr>
            <w:tcW w:type="dxa" w:w="4968"/>
            <w:vAlign w:val="center"/>
          </w:tcPr>
          <w:p>
            <w:r/>
            <w:r>
              <w:rPr>
                <w:rFonts w:ascii="Arial" w:hAnsi="Arial"/>
                <w:b w:val="0"/>
                <w:sz w:val="18"/>
              </w:rPr>
              <w:t>Significance level</w:t>
            </w:r>
          </w:p>
        </w:tc>
        <w:tc>
          <w:tcPr>
            <w:tcW w:type="dxa" w:w="4968"/>
            <w:vAlign w:val="center"/>
          </w:tcPr>
          <w:p>
            <w:r/>
            <w:r>
              <w:rPr>
                <w:rFonts w:ascii="Arial" w:hAnsi="Arial"/>
                <w:b w:val="0"/>
                <w:sz w:val="18"/>
              </w:rPr>
              <w:t>α = 0.05 with 95% confidence intervals.</w:t>
            </w:r>
          </w:p>
        </w:tc>
      </w:tr>
      <w:tr>
        <w:tc>
          <w:tcPr>
            <w:tcW w:type="dxa" w:w="4968"/>
            <w:vAlign w:val="center"/>
          </w:tcPr>
          <w:p>
            <w:r/>
            <w:r>
              <w:rPr>
                <w:rFonts w:ascii="Arial" w:hAnsi="Arial"/>
                <w:b w:val="0"/>
                <w:sz w:val="18"/>
              </w:rPr>
              <w:t>Reproducibility</w:t>
            </w:r>
          </w:p>
        </w:tc>
        <w:tc>
          <w:tcPr>
            <w:tcW w:type="dxa" w:w="4968"/>
            <w:vAlign w:val="center"/>
          </w:tcPr>
          <w:p>
            <w:r/>
            <w:r>
              <w:rPr>
                <w:rFonts w:ascii="Arial" w:hAnsi="Arial"/>
                <w:b w:val="0"/>
                <w:sz w:val="18"/>
              </w:rPr>
              <w:t>Fixed random seed (42) and full code appendix.</w:t>
            </w:r>
          </w:p>
        </w:tc>
      </w:tr>
    </w:tbl>
    <w:p/>
    <w:p>
      <w:r>
        <w:br w:type="page"/>
      </w:r>
    </w:p>
    <w:p>
      <w:pPr>
        <w:pStyle w:val="Heading1"/>
      </w:pPr>
      <w:r>
        <w:t>1. Executive Summary</w:t>
      </w:r>
    </w:p>
    <w:p>
      <w:r>
        <w:t>This project evaluates a realistic e-commerce A/B testing problem using a transparent, self-generated dataset of 1,800 users. Users were randomly assigned to Control, 10% Discount, or 20% Discount groups. Conversion rates were 14.50%, 21.88%, and 24.84%.</w:t>
      </w:r>
    </w:p>
    <w:p>
      <w:r>
        <w:t>The primary chi-square test found a statistically significant association between campaign group and conversion (χ² = 21.19, p = 2.50747e-05; Cramér’s V = 0.108). The pairwise tests show how the treatment groups differ from Control.</w:t>
      </w:r>
    </w:p>
    <w:p>
      <w:r>
        <w:t>Among purchasers, average order value also differs across groups (ANOVA F = 21.20, p = 1.95129e-09). For the focused Control vs 20% comparison, the estimated AOV difference was ₹-11.23, with a 95% CI from ₹-14.61 to ₹-7.86 (Welch’s t-test p = 4.27184e-10).</w:t>
      </w:r>
    </w:p>
    <w:p>
      <w:r>
        <w:t>The central business lesson is that a statistically significant conversion lift should not be treated as the final decision metric. Discounts can raise purchase probability while lowering the value of each purchase.</w:t>
      </w:r>
    </w:p>
    <w:p>
      <w:pPr>
        <w:pStyle w:val="Heading1"/>
      </w:pPr>
      <w:r>
        <w:t>2. Business Context</w:t>
      </w:r>
    </w:p>
    <w:p>
      <w:r>
        <w:t>Imagine an online retailer testing promotional offers. Marketing wants more conversions; finance wants sustainable unit economics. The experiment is designed to answer both questions using statistical evidence.</w:t>
      </w:r>
    </w:p>
    <w:p>
      <w:pPr>
        <w:pStyle w:val="Heading1"/>
      </w:pPr>
      <w:r>
        <w:t>3. Research Questions &amp; Hypotheses</w:t>
      </w:r>
    </w:p>
    <w:p>
      <w:pPr>
        <w:pStyle w:val="ListBullet"/>
      </w:pPr>
      <w:r>
        <w:t>Does campaign group affect conversion probability?</w:t>
      </w:r>
    </w:p>
    <w:p>
      <w:pPr>
        <w:pStyle w:val="ListBullet"/>
      </w:pPr>
      <w:r>
        <w:t>Do discount levels change average order value among purchasers?</w:t>
      </w:r>
    </w:p>
    <w:p>
      <w:pPr>
        <w:pStyle w:val="ListBullet"/>
      </w:pPr>
      <w:r>
        <w:t>Does the incremental conversion activity translate into stronger net revenue per user after discount cost?</w:t>
      </w:r>
    </w:p>
    <w:p>
      <w:pPr>
        <w:pStyle w:val="ListBullet"/>
      </w:pPr>
      <w:r>
        <w:t>Do campaign effects remain after controlling for age, sessions, customer type, and device?</w:t>
      </w:r>
    </w:p>
    <w:p>
      <w:r>
        <w:t>H₀ (primary): Conversion is independent of campaign group.</w:t>
      </w:r>
    </w:p>
    <w:p>
      <w:r>
        <w:t>H₁ (primary): Conversion differs across at least one campaign group.</w:t>
      </w:r>
    </w:p>
    <w:p>
      <w:r>
        <w:t>H₀ (AOV): Mean order value is equal across campaign groups among purchasers.</w:t>
      </w:r>
    </w:p>
    <w:p>
      <w:r>
        <w:t>H₁ (AOV): At least one campaign group has a different mean order value.</w:t>
      </w:r>
    </w:p>
    <w:p>
      <w:pPr>
        <w:pStyle w:val="Heading1"/>
      </w:pPr>
      <w:r>
        <w:t>4. Dataset &amp; Experimental Design</w:t>
      </w:r>
    </w:p>
    <w:p>
      <w:r>
        <w:t>The dataset is intentionally self-generated because the assignment permits synthetic data. It must be presented as synthetic, not as proprietary or real customer data. Randomized assignment makes the experiment suitable for demonstrating causal A/B-test logic.</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8"/>
          </w:tcPr>
          <w:p>
            <w:r/>
            <w:r>
              <w:rPr>
                <w:rFonts w:ascii="Arial" w:hAnsi="Arial"/>
                <w:b/>
                <w:color w:val="FFFFFF"/>
                <w:sz w:val="18"/>
              </w:rPr>
              <w:t>Variable</w:t>
            </w:r>
          </w:p>
        </w:tc>
        <w:tc>
          <w:tcPr>
            <w:tcW w:type="dxa" w:w="3312"/>
            <w:vAlign w:val="center"/>
            <w:shd w:fill="1F4E78"/>
          </w:tcPr>
          <w:p>
            <w:r/>
            <w:r>
              <w:rPr>
                <w:rFonts w:ascii="Arial" w:hAnsi="Arial"/>
                <w:b/>
                <w:color w:val="FFFFFF"/>
                <w:sz w:val="18"/>
              </w:rPr>
              <w:t>Meaning</w:t>
            </w:r>
          </w:p>
        </w:tc>
        <w:tc>
          <w:tcPr>
            <w:tcW w:type="dxa" w:w="3312"/>
            <w:vAlign w:val="center"/>
            <w:shd w:fill="1F4E78"/>
          </w:tcPr>
          <w:p>
            <w:r/>
            <w:r>
              <w:rPr>
                <w:rFonts w:ascii="Arial" w:hAnsi="Arial"/>
                <w:b/>
                <w:color w:val="FFFFFF"/>
                <w:sz w:val="18"/>
              </w:rPr>
              <w:t>Type</w:t>
            </w:r>
          </w:p>
        </w:tc>
      </w:tr>
      <w:tr>
        <w:tc>
          <w:tcPr>
            <w:tcW w:type="dxa" w:w="3312"/>
            <w:vAlign w:val="center"/>
          </w:tcPr>
          <w:p>
            <w:r/>
            <w:r>
              <w:rPr>
                <w:rFonts w:ascii="Arial" w:hAnsi="Arial"/>
                <w:b w:val="0"/>
                <w:sz w:val="18"/>
              </w:rPr>
              <w:t>group</w:t>
            </w:r>
          </w:p>
        </w:tc>
        <w:tc>
          <w:tcPr>
            <w:tcW w:type="dxa" w:w="3312"/>
            <w:vAlign w:val="center"/>
          </w:tcPr>
          <w:p>
            <w:r/>
            <w:r>
              <w:rPr>
                <w:rFonts w:ascii="Arial" w:hAnsi="Arial"/>
                <w:b w:val="0"/>
                <w:sz w:val="18"/>
              </w:rPr>
              <w:t>Control / 10% / 20% discount</w:t>
            </w:r>
          </w:p>
        </w:tc>
        <w:tc>
          <w:tcPr>
            <w:tcW w:type="dxa" w:w="3312"/>
            <w:vAlign w:val="center"/>
          </w:tcPr>
          <w:p>
            <w:r/>
            <w:r>
              <w:rPr>
                <w:rFonts w:ascii="Arial" w:hAnsi="Arial"/>
                <w:b w:val="0"/>
                <w:sz w:val="18"/>
              </w:rPr>
              <w:t>Categorical</w:t>
            </w:r>
          </w:p>
        </w:tc>
      </w:tr>
      <w:tr>
        <w:tc>
          <w:tcPr>
            <w:tcW w:type="dxa" w:w="3312"/>
            <w:vAlign w:val="center"/>
          </w:tcPr>
          <w:p>
            <w:r/>
            <w:r>
              <w:rPr>
                <w:rFonts w:ascii="Arial" w:hAnsi="Arial"/>
                <w:b w:val="0"/>
                <w:sz w:val="18"/>
              </w:rPr>
              <w:t>converted</w:t>
            </w:r>
          </w:p>
        </w:tc>
        <w:tc>
          <w:tcPr>
            <w:tcW w:type="dxa" w:w="3312"/>
            <w:vAlign w:val="center"/>
          </w:tcPr>
          <w:p>
            <w:r/>
            <w:r>
              <w:rPr>
                <w:rFonts w:ascii="Arial" w:hAnsi="Arial"/>
                <w:b w:val="0"/>
                <w:sz w:val="18"/>
              </w:rPr>
              <w:t>Purchase occurred (1/0)</w:t>
            </w:r>
          </w:p>
        </w:tc>
        <w:tc>
          <w:tcPr>
            <w:tcW w:type="dxa" w:w="3312"/>
            <w:vAlign w:val="center"/>
          </w:tcPr>
          <w:p>
            <w:r/>
            <w:r>
              <w:rPr>
                <w:rFonts w:ascii="Arial" w:hAnsi="Arial"/>
                <w:b w:val="0"/>
                <w:sz w:val="18"/>
              </w:rPr>
              <w:t>Binary</w:t>
            </w:r>
          </w:p>
        </w:tc>
      </w:tr>
      <w:tr>
        <w:tc>
          <w:tcPr>
            <w:tcW w:type="dxa" w:w="3312"/>
            <w:vAlign w:val="center"/>
          </w:tcPr>
          <w:p>
            <w:r/>
            <w:r>
              <w:rPr>
                <w:rFonts w:ascii="Arial" w:hAnsi="Arial"/>
                <w:b w:val="0"/>
                <w:sz w:val="18"/>
              </w:rPr>
              <w:t>order_value</w:t>
            </w:r>
          </w:p>
        </w:tc>
        <w:tc>
          <w:tcPr>
            <w:tcW w:type="dxa" w:w="3312"/>
            <w:vAlign w:val="center"/>
          </w:tcPr>
          <w:p>
            <w:r/>
            <w:r>
              <w:rPr>
                <w:rFonts w:ascii="Arial" w:hAnsi="Arial"/>
                <w:b w:val="0"/>
                <w:sz w:val="18"/>
              </w:rPr>
              <w:t>Order amount for purchasers</w:t>
            </w:r>
          </w:p>
        </w:tc>
        <w:tc>
          <w:tcPr>
            <w:tcW w:type="dxa" w:w="3312"/>
            <w:vAlign w:val="center"/>
          </w:tcPr>
          <w:p>
            <w:r/>
            <w:r>
              <w:rPr>
                <w:rFonts w:ascii="Arial" w:hAnsi="Arial"/>
                <w:b w:val="0"/>
                <w:sz w:val="18"/>
              </w:rPr>
              <w:t>Numeric</w:t>
            </w:r>
          </w:p>
        </w:tc>
      </w:tr>
      <w:tr>
        <w:tc>
          <w:tcPr>
            <w:tcW w:type="dxa" w:w="3312"/>
            <w:vAlign w:val="center"/>
          </w:tcPr>
          <w:p>
            <w:r/>
            <w:r>
              <w:rPr>
                <w:rFonts w:ascii="Arial" w:hAnsi="Arial"/>
                <w:b w:val="0"/>
                <w:sz w:val="18"/>
              </w:rPr>
              <w:t>age</w:t>
            </w:r>
          </w:p>
        </w:tc>
        <w:tc>
          <w:tcPr>
            <w:tcW w:type="dxa" w:w="3312"/>
            <w:vAlign w:val="center"/>
          </w:tcPr>
          <w:p>
            <w:r/>
            <w:r>
              <w:rPr>
                <w:rFonts w:ascii="Arial" w:hAnsi="Arial"/>
                <w:b w:val="0"/>
                <w:sz w:val="18"/>
              </w:rPr>
              <w:t>Customer age</w:t>
            </w:r>
          </w:p>
        </w:tc>
        <w:tc>
          <w:tcPr>
            <w:tcW w:type="dxa" w:w="3312"/>
            <w:vAlign w:val="center"/>
          </w:tcPr>
          <w:p>
            <w:r/>
            <w:r>
              <w:rPr>
                <w:rFonts w:ascii="Arial" w:hAnsi="Arial"/>
                <w:b w:val="0"/>
                <w:sz w:val="18"/>
              </w:rPr>
              <w:t>Numeric</w:t>
            </w:r>
          </w:p>
        </w:tc>
      </w:tr>
      <w:tr>
        <w:tc>
          <w:tcPr>
            <w:tcW w:type="dxa" w:w="3312"/>
            <w:vAlign w:val="center"/>
          </w:tcPr>
          <w:p>
            <w:r/>
            <w:r>
              <w:rPr>
                <w:rFonts w:ascii="Arial" w:hAnsi="Arial"/>
                <w:b w:val="0"/>
                <w:sz w:val="18"/>
              </w:rPr>
              <w:t>sessions</w:t>
            </w:r>
          </w:p>
        </w:tc>
        <w:tc>
          <w:tcPr>
            <w:tcW w:type="dxa" w:w="3312"/>
            <w:vAlign w:val="center"/>
          </w:tcPr>
          <w:p>
            <w:r/>
            <w:r>
              <w:rPr>
                <w:rFonts w:ascii="Arial" w:hAnsi="Arial"/>
                <w:b w:val="0"/>
                <w:sz w:val="18"/>
              </w:rPr>
              <w:t>Campaign-period sessions</w:t>
            </w:r>
          </w:p>
        </w:tc>
        <w:tc>
          <w:tcPr>
            <w:tcW w:type="dxa" w:w="3312"/>
            <w:vAlign w:val="center"/>
          </w:tcPr>
          <w:p>
            <w:r/>
            <w:r>
              <w:rPr>
                <w:rFonts w:ascii="Arial" w:hAnsi="Arial"/>
                <w:b w:val="0"/>
                <w:sz w:val="18"/>
              </w:rPr>
              <w:t>Integer</w:t>
            </w:r>
          </w:p>
        </w:tc>
      </w:tr>
      <w:tr>
        <w:tc>
          <w:tcPr>
            <w:tcW w:type="dxa" w:w="3312"/>
            <w:vAlign w:val="center"/>
          </w:tcPr>
          <w:p>
            <w:r/>
            <w:r>
              <w:rPr>
                <w:rFonts w:ascii="Arial" w:hAnsi="Arial"/>
                <w:b w:val="0"/>
                <w:sz w:val="18"/>
              </w:rPr>
              <w:t>returning_customer</w:t>
            </w:r>
          </w:p>
        </w:tc>
        <w:tc>
          <w:tcPr>
            <w:tcW w:type="dxa" w:w="3312"/>
            <w:vAlign w:val="center"/>
          </w:tcPr>
          <w:p>
            <w:r/>
            <w:r>
              <w:rPr>
                <w:rFonts w:ascii="Arial" w:hAnsi="Arial"/>
                <w:b w:val="0"/>
                <w:sz w:val="18"/>
              </w:rPr>
              <w:t>Previous customer (1/0)</w:t>
            </w:r>
          </w:p>
        </w:tc>
        <w:tc>
          <w:tcPr>
            <w:tcW w:type="dxa" w:w="3312"/>
            <w:vAlign w:val="center"/>
          </w:tcPr>
          <w:p>
            <w:r/>
            <w:r>
              <w:rPr>
                <w:rFonts w:ascii="Arial" w:hAnsi="Arial"/>
                <w:b w:val="0"/>
                <w:sz w:val="18"/>
              </w:rPr>
              <w:t>Binary</w:t>
            </w:r>
          </w:p>
        </w:tc>
      </w:tr>
      <w:tr>
        <w:tc>
          <w:tcPr>
            <w:tcW w:type="dxa" w:w="3312"/>
            <w:vAlign w:val="center"/>
          </w:tcPr>
          <w:p>
            <w:r/>
            <w:r>
              <w:rPr>
                <w:rFonts w:ascii="Arial" w:hAnsi="Arial"/>
                <w:b w:val="0"/>
                <w:sz w:val="18"/>
              </w:rPr>
              <w:t>device</w:t>
            </w:r>
          </w:p>
        </w:tc>
        <w:tc>
          <w:tcPr>
            <w:tcW w:type="dxa" w:w="3312"/>
            <w:vAlign w:val="center"/>
          </w:tcPr>
          <w:p>
            <w:r/>
            <w:r>
              <w:rPr>
                <w:rFonts w:ascii="Arial" w:hAnsi="Arial"/>
                <w:b w:val="0"/>
                <w:sz w:val="18"/>
              </w:rPr>
              <w:t>Mobile / Desktop</w:t>
            </w:r>
          </w:p>
        </w:tc>
        <w:tc>
          <w:tcPr>
            <w:tcW w:type="dxa" w:w="3312"/>
            <w:vAlign w:val="center"/>
          </w:tcPr>
          <w:p>
            <w:r/>
            <w:r>
              <w:rPr>
                <w:rFonts w:ascii="Arial" w:hAnsi="Arial"/>
                <w:b w:val="0"/>
                <w:sz w:val="18"/>
              </w:rPr>
              <w:t>Categorical</w:t>
            </w:r>
          </w:p>
        </w:tc>
      </w:tr>
      <w:tr>
        <w:tc>
          <w:tcPr>
            <w:tcW w:type="dxa" w:w="3312"/>
            <w:vAlign w:val="center"/>
          </w:tcPr>
          <w:p>
            <w:r/>
            <w:r>
              <w:rPr>
                <w:rFonts w:ascii="Arial" w:hAnsi="Arial"/>
                <w:b w:val="0"/>
                <w:sz w:val="18"/>
              </w:rPr>
              <w:t>net_revenue</w:t>
            </w:r>
          </w:p>
        </w:tc>
        <w:tc>
          <w:tcPr>
            <w:tcW w:type="dxa" w:w="3312"/>
            <w:vAlign w:val="center"/>
          </w:tcPr>
          <w:p>
            <w:r/>
            <w:r>
              <w:rPr>
                <w:rFonts w:ascii="Arial" w:hAnsi="Arial"/>
                <w:b w:val="0"/>
                <w:sz w:val="18"/>
              </w:rPr>
              <w:t>Revenue minus estimated discount cost</w:t>
            </w:r>
          </w:p>
        </w:tc>
        <w:tc>
          <w:tcPr>
            <w:tcW w:type="dxa" w:w="3312"/>
            <w:vAlign w:val="center"/>
          </w:tcPr>
          <w:p>
            <w:r/>
            <w:r>
              <w:rPr>
                <w:rFonts w:ascii="Arial" w:hAnsi="Arial"/>
                <w:b w:val="0"/>
                <w:sz w:val="18"/>
              </w:rPr>
              <w:t>Numeric</w:t>
            </w:r>
          </w:p>
        </w:tc>
      </w:tr>
    </w:tbl>
    <w:p/>
    <w:p>
      <w:r>
        <w:t>Data quality: 0 missing values and 0 duplicate user IDs were detected.</w:t>
      </w:r>
    </w:p>
    <w:p>
      <w:pPr>
        <w:pStyle w:val="Heading1"/>
      </w:pPr>
      <w:r>
        <w:t>5. Methodology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8"/>
          </w:tcPr>
          <w:p>
            <w:r/>
            <w:r>
              <w:rPr>
                <w:rFonts w:ascii="Arial" w:hAnsi="Arial"/>
                <w:b/>
                <w:color w:val="FFFFFF"/>
                <w:sz w:val="18"/>
              </w:rPr>
              <w:t>Method</w:t>
            </w:r>
          </w:p>
        </w:tc>
        <w:tc>
          <w:tcPr>
            <w:tcW w:type="dxa" w:w="4968"/>
            <w:vAlign w:val="center"/>
            <w:shd w:fill="1F4E78"/>
          </w:tcPr>
          <w:p>
            <w:r/>
            <w:r>
              <w:rPr>
                <w:rFonts w:ascii="Arial" w:hAnsi="Arial"/>
                <w:b/>
                <w:color w:val="FFFFFF"/>
                <w:sz w:val="18"/>
              </w:rPr>
              <w:t>Why it is used</w:t>
            </w:r>
          </w:p>
        </w:tc>
      </w:tr>
      <w:tr>
        <w:tc>
          <w:tcPr>
            <w:tcW w:type="dxa" w:w="4968"/>
            <w:vAlign w:val="center"/>
          </w:tcPr>
          <w:p>
            <w:r/>
            <w:r>
              <w:rPr>
                <w:rFonts w:ascii="Arial" w:hAnsi="Arial"/>
                <w:b w:val="0"/>
                <w:sz w:val="18"/>
              </w:rPr>
              <w:t>Chi-square test</w:t>
            </w:r>
          </w:p>
        </w:tc>
        <w:tc>
          <w:tcPr>
            <w:tcW w:type="dxa" w:w="4968"/>
            <w:vAlign w:val="center"/>
          </w:tcPr>
          <w:p>
            <w:r/>
            <w:r>
              <w:rPr>
                <w:rFonts w:ascii="Arial" w:hAnsi="Arial"/>
                <w:b w:val="0"/>
                <w:sz w:val="18"/>
              </w:rPr>
              <w:t>Overall association between campaign and conversion.</w:t>
            </w:r>
          </w:p>
        </w:tc>
      </w:tr>
      <w:tr>
        <w:tc>
          <w:tcPr>
            <w:tcW w:type="dxa" w:w="4968"/>
            <w:vAlign w:val="center"/>
          </w:tcPr>
          <w:p>
            <w:r/>
            <w:r>
              <w:rPr>
                <w:rFonts w:ascii="Arial" w:hAnsi="Arial"/>
                <w:b w:val="0"/>
                <w:sz w:val="18"/>
              </w:rPr>
              <w:t>Two-proportion z-test</w:t>
            </w:r>
          </w:p>
        </w:tc>
        <w:tc>
          <w:tcPr>
            <w:tcW w:type="dxa" w:w="4968"/>
            <w:vAlign w:val="center"/>
          </w:tcPr>
          <w:p>
            <w:r/>
            <w:r>
              <w:rPr>
                <w:rFonts w:ascii="Arial" w:hAnsi="Arial"/>
                <w:b w:val="0"/>
                <w:sz w:val="18"/>
              </w:rPr>
              <w:t>Direct Control-vs-treatment conversion comparisons.</w:t>
            </w:r>
          </w:p>
        </w:tc>
      </w:tr>
      <w:tr>
        <w:tc>
          <w:tcPr>
            <w:tcW w:type="dxa" w:w="4968"/>
            <w:vAlign w:val="center"/>
          </w:tcPr>
          <w:p>
            <w:r/>
            <w:r>
              <w:rPr>
                <w:rFonts w:ascii="Arial" w:hAnsi="Arial"/>
                <w:b w:val="0"/>
                <w:sz w:val="18"/>
              </w:rPr>
              <w:t>One-way ANOVA</w:t>
            </w:r>
          </w:p>
        </w:tc>
        <w:tc>
          <w:tcPr>
            <w:tcW w:type="dxa" w:w="4968"/>
            <w:vAlign w:val="center"/>
          </w:tcPr>
          <w:p>
            <w:r/>
            <w:r>
              <w:rPr>
                <w:rFonts w:ascii="Arial" w:hAnsi="Arial"/>
                <w:b w:val="0"/>
                <w:sz w:val="18"/>
              </w:rPr>
              <w:t>Compare mean AOV across all three groups.</w:t>
            </w:r>
          </w:p>
        </w:tc>
      </w:tr>
      <w:tr>
        <w:tc>
          <w:tcPr>
            <w:tcW w:type="dxa" w:w="4968"/>
            <w:vAlign w:val="center"/>
          </w:tcPr>
          <w:p>
            <w:r/>
            <w:r>
              <w:rPr>
                <w:rFonts w:ascii="Arial" w:hAnsi="Arial"/>
                <w:b w:val="0"/>
                <w:sz w:val="18"/>
              </w:rPr>
              <w:t>Tukey HSD</w:t>
            </w:r>
          </w:p>
        </w:tc>
        <w:tc>
          <w:tcPr>
            <w:tcW w:type="dxa" w:w="4968"/>
            <w:vAlign w:val="center"/>
          </w:tcPr>
          <w:p>
            <w:r/>
            <w:r>
              <w:rPr>
                <w:rFonts w:ascii="Arial" w:hAnsi="Arial"/>
                <w:b w:val="0"/>
                <w:sz w:val="18"/>
              </w:rPr>
              <w:t>Identify which AOV pairs differ while controlling post-hoc error.</w:t>
            </w:r>
          </w:p>
        </w:tc>
      </w:tr>
      <w:tr>
        <w:tc>
          <w:tcPr>
            <w:tcW w:type="dxa" w:w="4968"/>
            <w:vAlign w:val="center"/>
          </w:tcPr>
          <w:p>
            <w:r/>
            <w:r>
              <w:rPr>
                <w:rFonts w:ascii="Arial" w:hAnsi="Arial"/>
                <w:b w:val="0"/>
                <w:sz w:val="18"/>
              </w:rPr>
              <w:t>Welch’s t-test</w:t>
            </w:r>
          </w:p>
        </w:tc>
        <w:tc>
          <w:tcPr>
            <w:tcW w:type="dxa" w:w="4968"/>
            <w:vAlign w:val="center"/>
          </w:tcPr>
          <w:p>
            <w:r/>
            <w:r>
              <w:rPr>
                <w:rFonts w:ascii="Arial" w:hAnsi="Arial"/>
                <w:b w:val="0"/>
                <w:sz w:val="18"/>
              </w:rPr>
              <w:t>Focused Control-vs-20% AOV comparison without equal-variance assumption.</w:t>
            </w:r>
          </w:p>
        </w:tc>
      </w:tr>
      <w:tr>
        <w:tc>
          <w:tcPr>
            <w:tcW w:type="dxa" w:w="4968"/>
            <w:vAlign w:val="center"/>
          </w:tcPr>
          <w:p>
            <w:r/>
            <w:r>
              <w:rPr>
                <w:rFonts w:ascii="Arial" w:hAnsi="Arial"/>
                <w:b w:val="0"/>
                <w:sz w:val="18"/>
              </w:rPr>
              <w:t>Binomial GLM</w:t>
            </w:r>
          </w:p>
        </w:tc>
        <w:tc>
          <w:tcPr>
            <w:tcW w:type="dxa" w:w="4968"/>
            <w:vAlign w:val="center"/>
          </w:tcPr>
          <w:p>
            <w:r/>
            <w:r>
              <w:rPr>
                <w:rFonts w:ascii="Arial" w:hAnsi="Arial"/>
                <w:b w:val="0"/>
                <w:sz w:val="18"/>
              </w:rPr>
              <w:t>Robustness check controlling for customer characteristics.</w:t>
            </w:r>
          </w:p>
        </w:tc>
      </w:tr>
    </w:tbl>
    <w:p/>
    <w:p>
      <w:r>
        <w:t>Decision threshold: p &lt; 0.05. Results are accompanied by effect sizes and confidence intervals where appropriate.</w:t>
      </w:r>
    </w:p>
    <w:p>
      <w:pPr>
        <w:pStyle w:val="Heading1"/>
      </w:pPr>
      <w:r>
        <w:t>6. Descriptive Results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shd w:fill="1F4E78"/>
          </w:tcPr>
          <w:p>
            <w:r/>
            <w:r>
              <w:rPr>
                <w:rFonts w:ascii="Arial" w:hAnsi="Arial"/>
                <w:b/>
                <w:color w:val="FFFFFF"/>
                <w:sz w:val="18"/>
              </w:rPr>
              <w:t>Group</w:t>
            </w:r>
          </w:p>
        </w:tc>
        <w:tc>
          <w:tcPr>
            <w:tcW w:type="dxa" w:w="1656"/>
            <w:vAlign w:val="center"/>
            <w:shd w:fill="1F4E78"/>
          </w:tcPr>
          <w:p>
            <w:r/>
            <w:r>
              <w:rPr>
                <w:rFonts w:ascii="Arial" w:hAnsi="Arial"/>
                <w:b/>
                <w:color w:val="FFFFFF"/>
                <w:sz w:val="18"/>
              </w:rPr>
              <w:t>Users</w:t>
            </w:r>
          </w:p>
        </w:tc>
        <w:tc>
          <w:tcPr>
            <w:tcW w:type="dxa" w:w="1656"/>
            <w:vAlign w:val="center"/>
            <w:shd w:fill="1F4E78"/>
          </w:tcPr>
          <w:p>
            <w:r/>
            <w:r>
              <w:rPr>
                <w:rFonts w:ascii="Arial" w:hAnsi="Arial"/>
                <w:b/>
                <w:color w:val="FFFFFF"/>
                <w:sz w:val="18"/>
              </w:rPr>
              <w:t>Conversions</w:t>
            </w:r>
          </w:p>
        </w:tc>
        <w:tc>
          <w:tcPr>
            <w:tcW w:type="dxa" w:w="1656"/>
            <w:vAlign w:val="center"/>
            <w:shd w:fill="1F4E78"/>
          </w:tcPr>
          <w:p>
            <w:r/>
            <w:r>
              <w:rPr>
                <w:rFonts w:ascii="Arial" w:hAnsi="Arial"/>
                <w:b/>
                <w:color w:val="FFFFFF"/>
                <w:sz w:val="18"/>
              </w:rPr>
              <w:t>Conversion Rate</w:t>
            </w:r>
          </w:p>
        </w:tc>
        <w:tc>
          <w:tcPr>
            <w:tcW w:type="dxa" w:w="1656"/>
            <w:vAlign w:val="center"/>
            <w:shd w:fill="1F4E78"/>
          </w:tcPr>
          <w:p>
            <w:r/>
            <w:r>
              <w:rPr>
                <w:rFonts w:ascii="Arial" w:hAnsi="Arial"/>
                <w:b/>
                <w:color w:val="FFFFFF"/>
                <w:sz w:val="18"/>
              </w:rPr>
              <w:t>Mean AOV</w:t>
            </w:r>
          </w:p>
        </w:tc>
        <w:tc>
          <w:tcPr>
            <w:tcW w:type="dxa" w:w="1656"/>
            <w:vAlign w:val="center"/>
            <w:shd w:fill="1F4E78"/>
          </w:tcPr>
          <w:p>
            <w:r/>
            <w:r>
              <w:rPr>
                <w:rFonts w:ascii="Arial" w:hAnsi="Arial"/>
                <w:b/>
                <w:color w:val="FFFFFF"/>
                <w:sz w:val="18"/>
              </w:rPr>
              <w:t>Net Rev/User</w:t>
            </w:r>
          </w:p>
        </w:tc>
      </w:tr>
      <w:tr>
        <w:tc>
          <w:tcPr>
            <w:tcW w:type="dxa" w:w="1656"/>
            <w:vAlign w:val="center"/>
          </w:tcPr>
          <w:p>
            <w:r/>
            <w:r>
              <w:rPr>
                <w:rFonts w:ascii="Arial" w:hAnsi="Arial"/>
                <w:b w:val="0"/>
                <w:sz w:val="18"/>
              </w:rPr>
              <w:t>Control</w:t>
            </w:r>
          </w:p>
        </w:tc>
        <w:tc>
          <w:tcPr>
            <w:tcW w:type="dxa" w:w="1656"/>
            <w:vAlign w:val="center"/>
          </w:tcPr>
          <w:p>
            <w:r/>
            <w:r>
              <w:rPr>
                <w:rFonts w:ascii="Arial" w:hAnsi="Arial"/>
                <w:b w:val="0"/>
                <w:sz w:val="18"/>
              </w:rPr>
              <w:t>607</w:t>
            </w:r>
          </w:p>
        </w:tc>
        <w:tc>
          <w:tcPr>
            <w:tcW w:type="dxa" w:w="1656"/>
            <w:vAlign w:val="center"/>
          </w:tcPr>
          <w:p>
            <w:r/>
            <w:r>
              <w:rPr>
                <w:rFonts w:ascii="Arial" w:hAnsi="Arial"/>
                <w:b w:val="0"/>
                <w:sz w:val="18"/>
              </w:rPr>
              <w:t>88</w:t>
            </w:r>
          </w:p>
        </w:tc>
        <w:tc>
          <w:tcPr>
            <w:tcW w:type="dxa" w:w="1656"/>
            <w:vAlign w:val="center"/>
          </w:tcPr>
          <w:p>
            <w:r/>
            <w:r>
              <w:rPr>
                <w:rFonts w:ascii="Arial" w:hAnsi="Arial"/>
                <w:b w:val="0"/>
                <w:sz w:val="18"/>
              </w:rPr>
              <w:t>14.50%</w:t>
            </w:r>
          </w:p>
        </w:tc>
        <w:tc>
          <w:tcPr>
            <w:tcW w:type="dxa" w:w="1656"/>
            <w:vAlign w:val="center"/>
          </w:tcPr>
          <w:p>
            <w:r/>
            <w:r>
              <w:rPr>
                <w:rFonts w:ascii="Arial" w:hAnsi="Arial"/>
                <w:b w:val="0"/>
                <w:sz w:val="18"/>
              </w:rPr>
              <w:t>₹64.45</w:t>
            </w:r>
          </w:p>
        </w:tc>
        <w:tc>
          <w:tcPr>
            <w:tcW w:type="dxa" w:w="1656"/>
            <w:vAlign w:val="center"/>
          </w:tcPr>
          <w:p>
            <w:r/>
            <w:r>
              <w:rPr>
                <w:rFonts w:ascii="Arial" w:hAnsi="Arial"/>
                <w:b w:val="0"/>
                <w:sz w:val="18"/>
              </w:rPr>
              <w:t>₹9.34</w:t>
            </w:r>
          </w:p>
        </w:tc>
      </w:tr>
      <w:tr>
        <w:tc>
          <w:tcPr>
            <w:tcW w:type="dxa" w:w="1656"/>
            <w:vAlign w:val="center"/>
          </w:tcPr>
          <w:p>
            <w:r/>
            <w:r>
              <w:rPr>
                <w:rFonts w:ascii="Arial" w:hAnsi="Arial"/>
                <w:b w:val="0"/>
                <w:sz w:val="18"/>
              </w:rPr>
              <w:t>10% Discount</w:t>
            </w:r>
          </w:p>
        </w:tc>
        <w:tc>
          <w:tcPr>
            <w:tcW w:type="dxa" w:w="1656"/>
            <w:vAlign w:val="center"/>
          </w:tcPr>
          <w:p>
            <w:r/>
            <w:r>
              <w:rPr>
                <w:rFonts w:ascii="Arial" w:hAnsi="Arial"/>
                <w:b w:val="0"/>
                <w:sz w:val="18"/>
              </w:rPr>
              <w:t>585</w:t>
            </w:r>
          </w:p>
        </w:tc>
        <w:tc>
          <w:tcPr>
            <w:tcW w:type="dxa" w:w="1656"/>
            <w:vAlign w:val="center"/>
          </w:tcPr>
          <w:p>
            <w:r/>
            <w:r>
              <w:rPr>
                <w:rFonts w:ascii="Arial" w:hAnsi="Arial"/>
                <w:b w:val="0"/>
                <w:sz w:val="18"/>
              </w:rPr>
              <w:t>128</w:t>
            </w:r>
          </w:p>
        </w:tc>
        <w:tc>
          <w:tcPr>
            <w:tcW w:type="dxa" w:w="1656"/>
            <w:vAlign w:val="center"/>
          </w:tcPr>
          <w:p>
            <w:r/>
            <w:r>
              <w:rPr>
                <w:rFonts w:ascii="Arial" w:hAnsi="Arial"/>
                <w:b w:val="0"/>
                <w:sz w:val="18"/>
              </w:rPr>
              <w:t>21.88%</w:t>
            </w:r>
          </w:p>
        </w:tc>
        <w:tc>
          <w:tcPr>
            <w:tcW w:type="dxa" w:w="1656"/>
            <w:vAlign w:val="center"/>
          </w:tcPr>
          <w:p>
            <w:r/>
            <w:r>
              <w:rPr>
                <w:rFonts w:ascii="Arial" w:hAnsi="Arial"/>
                <w:b w:val="0"/>
                <w:sz w:val="18"/>
              </w:rPr>
              <w:t>₹58.99</w:t>
            </w:r>
          </w:p>
        </w:tc>
        <w:tc>
          <w:tcPr>
            <w:tcW w:type="dxa" w:w="1656"/>
            <w:vAlign w:val="center"/>
          </w:tcPr>
          <w:p>
            <w:r/>
            <w:r>
              <w:rPr>
                <w:rFonts w:ascii="Arial" w:hAnsi="Arial"/>
                <w:b w:val="0"/>
                <w:sz w:val="18"/>
              </w:rPr>
              <w:t>₹11.62</w:t>
            </w:r>
          </w:p>
        </w:tc>
      </w:tr>
      <w:tr>
        <w:tc>
          <w:tcPr>
            <w:tcW w:type="dxa" w:w="1656"/>
            <w:vAlign w:val="center"/>
          </w:tcPr>
          <w:p>
            <w:r/>
            <w:r>
              <w:rPr>
                <w:rFonts w:ascii="Arial" w:hAnsi="Arial"/>
                <w:b w:val="0"/>
                <w:sz w:val="18"/>
              </w:rPr>
              <w:t>20% Discount</w:t>
            </w:r>
          </w:p>
        </w:tc>
        <w:tc>
          <w:tcPr>
            <w:tcW w:type="dxa" w:w="1656"/>
            <w:vAlign w:val="center"/>
          </w:tcPr>
          <w:p>
            <w:r/>
            <w:r>
              <w:rPr>
                <w:rFonts w:ascii="Arial" w:hAnsi="Arial"/>
                <w:b w:val="0"/>
                <w:sz w:val="18"/>
              </w:rPr>
              <w:t>608</w:t>
            </w:r>
          </w:p>
        </w:tc>
        <w:tc>
          <w:tcPr>
            <w:tcW w:type="dxa" w:w="1656"/>
            <w:vAlign w:val="center"/>
          </w:tcPr>
          <w:p>
            <w:r/>
            <w:r>
              <w:rPr>
                <w:rFonts w:ascii="Arial" w:hAnsi="Arial"/>
                <w:b w:val="0"/>
                <w:sz w:val="18"/>
              </w:rPr>
              <w:t>151</w:t>
            </w:r>
          </w:p>
        </w:tc>
        <w:tc>
          <w:tcPr>
            <w:tcW w:type="dxa" w:w="1656"/>
            <w:vAlign w:val="center"/>
          </w:tcPr>
          <w:p>
            <w:r/>
            <w:r>
              <w:rPr>
                <w:rFonts w:ascii="Arial" w:hAnsi="Arial"/>
                <w:b w:val="0"/>
                <w:sz w:val="18"/>
              </w:rPr>
              <w:t>24.84%</w:t>
            </w:r>
          </w:p>
        </w:tc>
        <w:tc>
          <w:tcPr>
            <w:tcW w:type="dxa" w:w="1656"/>
            <w:vAlign w:val="center"/>
          </w:tcPr>
          <w:p>
            <w:r/>
            <w:r>
              <w:rPr>
                <w:rFonts w:ascii="Arial" w:hAnsi="Arial"/>
                <w:b w:val="0"/>
                <w:sz w:val="18"/>
              </w:rPr>
              <w:t>₹53.22</w:t>
            </w:r>
          </w:p>
        </w:tc>
        <w:tc>
          <w:tcPr>
            <w:tcW w:type="dxa" w:w="1656"/>
            <w:vAlign w:val="center"/>
          </w:tcPr>
          <w:p>
            <w:r/>
            <w:r>
              <w:rPr>
                <w:rFonts w:ascii="Arial" w:hAnsi="Arial"/>
                <w:b w:val="0"/>
                <w:sz w:val="18"/>
              </w:rPr>
              <w:t>₹10.57</w:t>
            </w:r>
          </w:p>
        </w:tc>
      </w:tr>
    </w:tbl>
    <w:p/>
    <w:p>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conversion_rate.png"/>
                    <pic:cNvPicPr/>
                  </pic:nvPicPr>
                  <pic:blipFill>
                    <a:blip r:embed="rId10"/>
                    <a:stretch>
                      <a:fillRect/>
                    </a:stretch>
                  </pic:blipFill>
                  <pic:spPr>
                    <a:xfrm>
                      <a:off x="0" y="0"/>
                      <a:ext cx="5760720" cy="3600450"/>
                    </a:xfrm>
                    <a:prstGeom prst="rect"/>
                  </pic:spPr>
                </pic:pic>
              </a:graphicData>
            </a:graphic>
          </wp:inline>
        </w:drawing>
      </w:r>
    </w:p>
    <w:p>
      <w:pPr>
        <w:jc w:val="center"/>
      </w:pPr>
      <w:r>
        <w:t>Figure 1. Conversion rate by campaign group.</w:t>
      </w:r>
    </w:p>
    <w:p>
      <w:r>
        <w:br w:type="page"/>
      </w:r>
    </w:p>
    <w:p>
      <w:pPr>
        <w:pStyle w:val="Heading1"/>
      </w:pPr>
      <w:r>
        <w:t>7. Statistical Analysis</w:t>
      </w:r>
    </w:p>
    <w:p>
      <w:pPr>
        <w:pStyle w:val="Heading2"/>
      </w:pPr>
      <w:r>
        <w:t>7.1 Chi-square Test</w:t>
      </w:r>
    </w:p>
    <w:p>
      <w:r>
        <w:t>χ²(2) = 21.187, p = 2.50747e-05. Because p &lt; 0.05, the null hypothesis of independence is rejected. The campaign groups therefore show evidence of different conversion behavior in this simulated experiment. Cramér’s V = 0.108 gives an effect-size measure.</w:t>
      </w:r>
    </w:p>
    <w:p>
      <w:pPr>
        <w:pStyle w:val="Heading2"/>
      </w:pPr>
      <w:r>
        <w:t>7.2 Pairwise Conversion Tests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1F4E78"/>
          </w:tcPr>
          <w:p>
            <w:r/>
            <w:r>
              <w:rPr>
                <w:rFonts w:ascii="Arial" w:hAnsi="Arial"/>
                <w:b/>
                <w:color w:val="FFFFFF"/>
                <w:sz w:val="18"/>
              </w:rPr>
              <w:t>Comparison</w:t>
            </w:r>
          </w:p>
        </w:tc>
        <w:tc>
          <w:tcPr>
            <w:tcW w:type="dxa" w:w="1987"/>
            <w:vAlign w:val="center"/>
            <w:shd w:fill="1F4E78"/>
          </w:tcPr>
          <w:p>
            <w:r/>
            <w:r>
              <w:rPr>
                <w:rFonts w:ascii="Arial" w:hAnsi="Arial"/>
                <w:b/>
                <w:color w:val="FFFFFF"/>
                <w:sz w:val="18"/>
              </w:rPr>
              <w:t>Difference</w:t>
            </w:r>
          </w:p>
        </w:tc>
        <w:tc>
          <w:tcPr>
            <w:tcW w:type="dxa" w:w="1987"/>
            <w:vAlign w:val="center"/>
            <w:shd w:fill="1F4E78"/>
          </w:tcPr>
          <w:p>
            <w:r/>
            <w:r>
              <w:rPr>
                <w:rFonts w:ascii="Arial" w:hAnsi="Arial"/>
                <w:b/>
                <w:color w:val="FFFFFF"/>
                <w:sz w:val="18"/>
              </w:rPr>
              <w:t>z-stat</w:t>
            </w:r>
          </w:p>
        </w:tc>
        <w:tc>
          <w:tcPr>
            <w:tcW w:type="dxa" w:w="1987"/>
            <w:vAlign w:val="center"/>
            <w:shd w:fill="1F4E78"/>
          </w:tcPr>
          <w:p>
            <w:r/>
            <w:r>
              <w:rPr>
                <w:rFonts w:ascii="Arial" w:hAnsi="Arial"/>
                <w:b/>
                <w:color w:val="FFFFFF"/>
                <w:sz w:val="18"/>
              </w:rPr>
              <w:t>p-value</w:t>
            </w:r>
          </w:p>
        </w:tc>
        <w:tc>
          <w:tcPr>
            <w:tcW w:type="dxa" w:w="1987"/>
            <w:vAlign w:val="center"/>
            <w:shd w:fill="1F4E78"/>
          </w:tcPr>
          <w:p>
            <w:r/>
            <w:r>
              <w:rPr>
                <w:rFonts w:ascii="Arial" w:hAnsi="Arial"/>
                <w:b/>
                <w:color w:val="FFFFFF"/>
                <w:sz w:val="18"/>
              </w:rPr>
              <w:t>Result</w:t>
            </w:r>
          </w:p>
        </w:tc>
      </w:tr>
      <w:tr>
        <w:tc>
          <w:tcPr>
            <w:tcW w:type="dxa" w:w="1987"/>
            <w:vAlign w:val="center"/>
          </w:tcPr>
          <w:p>
            <w:r/>
            <w:r>
              <w:rPr>
                <w:rFonts w:ascii="Arial" w:hAnsi="Arial"/>
                <w:b w:val="0"/>
                <w:sz w:val="18"/>
              </w:rPr>
              <w:t>Control vs 10% Discount</w:t>
            </w:r>
          </w:p>
        </w:tc>
        <w:tc>
          <w:tcPr>
            <w:tcW w:type="dxa" w:w="1987"/>
            <w:vAlign w:val="center"/>
          </w:tcPr>
          <w:p>
            <w:r/>
            <w:r>
              <w:rPr>
                <w:rFonts w:ascii="Arial" w:hAnsi="Arial"/>
                <w:b w:val="0"/>
                <w:sz w:val="18"/>
              </w:rPr>
              <w:t>7.38 percentage points</w:t>
            </w:r>
          </w:p>
        </w:tc>
        <w:tc>
          <w:tcPr>
            <w:tcW w:type="dxa" w:w="1987"/>
            <w:vAlign w:val="center"/>
          </w:tcPr>
          <w:p>
            <w:r/>
            <w:r>
              <w:rPr>
                <w:rFonts w:ascii="Arial" w:hAnsi="Arial"/>
                <w:b w:val="0"/>
                <w:sz w:val="18"/>
              </w:rPr>
              <w:t>-3.31</w:t>
            </w:r>
          </w:p>
        </w:tc>
        <w:tc>
          <w:tcPr>
            <w:tcW w:type="dxa" w:w="1987"/>
            <w:vAlign w:val="center"/>
          </w:tcPr>
          <w:p>
            <w:r/>
            <w:r>
              <w:rPr>
                <w:rFonts w:ascii="Arial" w:hAnsi="Arial"/>
                <w:b w:val="0"/>
                <w:sz w:val="18"/>
              </w:rPr>
              <w:t>0.000939265</w:t>
            </w:r>
          </w:p>
        </w:tc>
        <w:tc>
          <w:tcPr>
            <w:tcW w:type="dxa" w:w="1987"/>
            <w:vAlign w:val="center"/>
          </w:tcPr>
          <w:p>
            <w:r/>
            <w:r>
              <w:rPr>
                <w:rFonts w:ascii="Arial" w:hAnsi="Arial"/>
                <w:b w:val="0"/>
                <w:sz w:val="18"/>
              </w:rPr>
              <w:t>Significant</w:t>
            </w:r>
          </w:p>
        </w:tc>
      </w:tr>
      <w:tr>
        <w:tc>
          <w:tcPr>
            <w:tcW w:type="dxa" w:w="1987"/>
            <w:vAlign w:val="center"/>
          </w:tcPr>
          <w:p>
            <w:r/>
            <w:r>
              <w:rPr>
                <w:rFonts w:ascii="Arial" w:hAnsi="Arial"/>
                <w:b w:val="0"/>
                <w:sz w:val="18"/>
              </w:rPr>
              <w:t>Control vs 20% Discount</w:t>
            </w:r>
          </w:p>
        </w:tc>
        <w:tc>
          <w:tcPr>
            <w:tcW w:type="dxa" w:w="1987"/>
            <w:vAlign w:val="center"/>
          </w:tcPr>
          <w:p>
            <w:r/>
            <w:r>
              <w:rPr>
                <w:rFonts w:ascii="Arial" w:hAnsi="Arial"/>
                <w:b w:val="0"/>
                <w:sz w:val="18"/>
              </w:rPr>
              <w:t>10.34 percentage points</w:t>
            </w:r>
          </w:p>
        </w:tc>
        <w:tc>
          <w:tcPr>
            <w:tcW w:type="dxa" w:w="1987"/>
            <w:vAlign w:val="center"/>
          </w:tcPr>
          <w:p>
            <w:r/>
            <w:r>
              <w:rPr>
                <w:rFonts w:ascii="Arial" w:hAnsi="Arial"/>
                <w:b w:val="0"/>
                <w:sz w:val="18"/>
              </w:rPr>
              <w:t>-4.53</w:t>
            </w:r>
          </w:p>
        </w:tc>
        <w:tc>
          <w:tcPr>
            <w:tcW w:type="dxa" w:w="1987"/>
            <w:vAlign w:val="center"/>
          </w:tcPr>
          <w:p>
            <w:r/>
            <w:r>
              <w:rPr>
                <w:rFonts w:ascii="Arial" w:hAnsi="Arial"/>
                <w:b w:val="0"/>
                <w:sz w:val="18"/>
              </w:rPr>
              <w:t>5.82637e-06</w:t>
            </w:r>
          </w:p>
        </w:tc>
        <w:tc>
          <w:tcPr>
            <w:tcW w:type="dxa" w:w="1987"/>
            <w:vAlign w:val="center"/>
          </w:tcPr>
          <w:p>
            <w:r/>
            <w:r>
              <w:rPr>
                <w:rFonts w:ascii="Arial" w:hAnsi="Arial"/>
                <w:b w:val="0"/>
                <w:sz w:val="18"/>
              </w:rPr>
              <w:t>Significant</w:t>
            </w:r>
          </w:p>
        </w:tc>
      </w:tr>
    </w:tbl>
    <w:p/>
    <w:p>
      <w:pPr>
        <w:pStyle w:val="Heading2"/>
      </w:pPr>
      <w:r>
        <w:t>7.3 ANOVA — Average Order Value</w:t>
      </w:r>
    </w:p>
    <w:p>
      <w:r>
        <w:t>F = 21.201, p = 1.95129e-09. The evidence indicates that at least one campaign mean AOV differs.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F4E78"/>
          </w:tcPr>
          <w:p>
            <w:r/>
            <w:r>
              <w:rPr>
                <w:rFonts w:ascii="Arial" w:hAnsi="Arial"/>
                <w:b/>
                <w:color w:val="FFFFFF"/>
                <w:sz w:val="18"/>
              </w:rPr>
              <w:t>Group</w:t>
            </w:r>
          </w:p>
        </w:tc>
        <w:tc>
          <w:tcPr>
            <w:tcW w:type="dxa" w:w="2484"/>
            <w:vAlign w:val="center"/>
            <w:shd w:fill="1F4E78"/>
          </w:tcPr>
          <w:p>
            <w:r/>
            <w:r>
              <w:rPr>
                <w:rFonts w:ascii="Arial" w:hAnsi="Arial"/>
                <w:b/>
                <w:color w:val="FFFFFF"/>
                <w:sz w:val="18"/>
              </w:rPr>
              <w:t>Purchasers</w:t>
            </w:r>
          </w:p>
        </w:tc>
        <w:tc>
          <w:tcPr>
            <w:tcW w:type="dxa" w:w="2484"/>
            <w:vAlign w:val="center"/>
            <w:shd w:fill="1F4E78"/>
          </w:tcPr>
          <w:p>
            <w:r/>
            <w:r>
              <w:rPr>
                <w:rFonts w:ascii="Arial" w:hAnsi="Arial"/>
                <w:b/>
                <w:color w:val="FFFFFF"/>
                <w:sz w:val="18"/>
              </w:rPr>
              <w:t>Mean AOV</w:t>
            </w:r>
          </w:p>
        </w:tc>
        <w:tc>
          <w:tcPr>
            <w:tcW w:type="dxa" w:w="2484"/>
            <w:vAlign w:val="center"/>
            <w:shd w:fill="1F4E78"/>
          </w:tcPr>
          <w:p>
            <w:r/>
            <w:r>
              <w:rPr>
                <w:rFonts w:ascii="Arial" w:hAnsi="Arial"/>
                <w:b/>
                <w:color w:val="FFFFFF"/>
                <w:sz w:val="18"/>
              </w:rPr>
              <w:t>Median AOV</w:t>
            </w:r>
          </w:p>
        </w:tc>
      </w:tr>
      <w:tr>
        <w:tc>
          <w:tcPr>
            <w:tcW w:type="dxa" w:w="2484"/>
            <w:vAlign w:val="center"/>
          </w:tcPr>
          <w:p>
            <w:r/>
            <w:r>
              <w:rPr>
                <w:rFonts w:ascii="Arial" w:hAnsi="Arial"/>
                <w:b w:val="0"/>
                <w:sz w:val="18"/>
              </w:rPr>
              <w:t>Control</w:t>
            </w:r>
          </w:p>
        </w:tc>
        <w:tc>
          <w:tcPr>
            <w:tcW w:type="dxa" w:w="2484"/>
            <w:vAlign w:val="center"/>
          </w:tcPr>
          <w:p>
            <w:r/>
            <w:r>
              <w:rPr>
                <w:rFonts w:ascii="Arial" w:hAnsi="Arial"/>
                <w:b w:val="0"/>
                <w:sz w:val="18"/>
              </w:rPr>
              <w:t>88</w:t>
            </w:r>
          </w:p>
        </w:tc>
        <w:tc>
          <w:tcPr>
            <w:tcW w:type="dxa" w:w="2484"/>
            <w:vAlign w:val="center"/>
          </w:tcPr>
          <w:p>
            <w:r/>
            <w:r>
              <w:rPr>
                <w:rFonts w:ascii="Arial" w:hAnsi="Arial"/>
                <w:b w:val="0"/>
                <w:sz w:val="18"/>
              </w:rPr>
              <w:t>₹64.45</w:t>
            </w:r>
          </w:p>
        </w:tc>
        <w:tc>
          <w:tcPr>
            <w:tcW w:type="dxa" w:w="2484"/>
            <w:vAlign w:val="center"/>
          </w:tcPr>
          <w:p>
            <w:r/>
            <w:r>
              <w:rPr>
                <w:rFonts w:ascii="Arial" w:hAnsi="Arial"/>
                <w:b w:val="0"/>
                <w:sz w:val="18"/>
              </w:rPr>
              <w:t>₹65.31</w:t>
            </w:r>
          </w:p>
        </w:tc>
      </w:tr>
      <w:tr>
        <w:tc>
          <w:tcPr>
            <w:tcW w:type="dxa" w:w="2484"/>
            <w:vAlign w:val="center"/>
          </w:tcPr>
          <w:p>
            <w:r/>
            <w:r>
              <w:rPr>
                <w:rFonts w:ascii="Arial" w:hAnsi="Arial"/>
                <w:b w:val="0"/>
                <w:sz w:val="18"/>
              </w:rPr>
              <w:t>10% Discount</w:t>
            </w:r>
          </w:p>
        </w:tc>
        <w:tc>
          <w:tcPr>
            <w:tcW w:type="dxa" w:w="2484"/>
            <w:vAlign w:val="center"/>
          </w:tcPr>
          <w:p>
            <w:r/>
            <w:r>
              <w:rPr>
                <w:rFonts w:ascii="Arial" w:hAnsi="Arial"/>
                <w:b w:val="0"/>
                <w:sz w:val="18"/>
              </w:rPr>
              <w:t>128</w:t>
            </w:r>
          </w:p>
        </w:tc>
        <w:tc>
          <w:tcPr>
            <w:tcW w:type="dxa" w:w="2484"/>
            <w:vAlign w:val="center"/>
          </w:tcPr>
          <w:p>
            <w:r/>
            <w:r>
              <w:rPr>
                <w:rFonts w:ascii="Arial" w:hAnsi="Arial"/>
                <w:b w:val="0"/>
                <w:sz w:val="18"/>
              </w:rPr>
              <w:t>₹58.99</w:t>
            </w:r>
          </w:p>
        </w:tc>
        <w:tc>
          <w:tcPr>
            <w:tcW w:type="dxa" w:w="2484"/>
            <w:vAlign w:val="center"/>
          </w:tcPr>
          <w:p>
            <w:r/>
            <w:r>
              <w:rPr>
                <w:rFonts w:ascii="Arial" w:hAnsi="Arial"/>
                <w:b w:val="0"/>
                <w:sz w:val="18"/>
              </w:rPr>
              <w:t>₹59.42</w:t>
            </w:r>
          </w:p>
        </w:tc>
      </w:tr>
      <w:tr>
        <w:tc>
          <w:tcPr>
            <w:tcW w:type="dxa" w:w="2484"/>
            <w:vAlign w:val="center"/>
          </w:tcPr>
          <w:p>
            <w:r/>
            <w:r>
              <w:rPr>
                <w:rFonts w:ascii="Arial" w:hAnsi="Arial"/>
                <w:b w:val="0"/>
                <w:sz w:val="18"/>
              </w:rPr>
              <w:t>20% Discount</w:t>
            </w:r>
          </w:p>
        </w:tc>
        <w:tc>
          <w:tcPr>
            <w:tcW w:type="dxa" w:w="2484"/>
            <w:vAlign w:val="center"/>
          </w:tcPr>
          <w:p>
            <w:r/>
            <w:r>
              <w:rPr>
                <w:rFonts w:ascii="Arial" w:hAnsi="Arial"/>
                <w:b w:val="0"/>
                <w:sz w:val="18"/>
              </w:rPr>
              <w:t>151</w:t>
            </w:r>
          </w:p>
        </w:tc>
        <w:tc>
          <w:tcPr>
            <w:tcW w:type="dxa" w:w="2484"/>
            <w:vAlign w:val="center"/>
          </w:tcPr>
          <w:p>
            <w:r/>
            <w:r>
              <w:rPr>
                <w:rFonts w:ascii="Arial" w:hAnsi="Arial"/>
                <w:b w:val="0"/>
                <w:sz w:val="18"/>
              </w:rPr>
              <w:t>₹53.22</w:t>
            </w:r>
          </w:p>
        </w:tc>
        <w:tc>
          <w:tcPr>
            <w:tcW w:type="dxa" w:w="2484"/>
            <w:vAlign w:val="center"/>
          </w:tcPr>
          <w:p>
            <w:r/>
            <w:r>
              <w:rPr>
                <w:rFonts w:ascii="Arial" w:hAnsi="Arial"/>
                <w:b w:val="0"/>
                <w:sz w:val="18"/>
              </w:rPr>
              <w:t>₹52.62</w:t>
            </w:r>
          </w:p>
        </w:tc>
      </w:tr>
    </w:tbl>
    <w:p/>
    <w:p>
      <w:r>
        <w:drawing>
          <wp:inline xmlns:a="http://schemas.openxmlformats.org/drawingml/2006/main" xmlns:pic="http://schemas.openxmlformats.org/drawingml/2006/picture">
            <wp:extent cx="5760720" cy="3600450"/>
            <wp:docPr id="2" name="Picture 2"/>
            <wp:cNvGraphicFramePr>
              <a:graphicFrameLocks noChangeAspect="1"/>
            </wp:cNvGraphicFramePr>
            <a:graphic>
              <a:graphicData uri="http://schemas.openxmlformats.org/drawingml/2006/picture">
                <pic:pic>
                  <pic:nvPicPr>
                    <pic:cNvPr id="0" name="aov_boxplot.png"/>
                    <pic:cNvPicPr/>
                  </pic:nvPicPr>
                  <pic:blipFill>
                    <a:blip r:embed="rId11"/>
                    <a:stretch>
                      <a:fillRect/>
                    </a:stretch>
                  </pic:blipFill>
                  <pic:spPr>
                    <a:xfrm>
                      <a:off x="0" y="0"/>
                      <a:ext cx="5760720" cy="3600450"/>
                    </a:xfrm>
                    <a:prstGeom prst="rect"/>
                  </pic:spPr>
                </pic:pic>
              </a:graphicData>
            </a:graphic>
          </wp:inline>
        </w:drawing>
      </w:r>
    </w:p>
    <w:p>
      <w:pPr>
        <w:jc w:val="center"/>
      </w:pPr>
      <w:r>
        <w:t>Figure 2. AOV comparison among purchasers.</w:t>
      </w:r>
    </w:p>
    <w:p>
      <w:pPr>
        <w:pStyle w:val="Heading2"/>
      </w:pPr>
      <w:r>
        <w:t>7.4 Tukey HSD</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1F4E78"/>
          </w:tcPr>
          <w:p>
            <w:r/>
            <w:r>
              <w:rPr>
                <w:rFonts w:ascii="Arial" w:hAnsi="Arial"/>
                <w:b/>
                <w:color w:val="FFFFFF"/>
                <w:sz w:val="18"/>
              </w:rPr>
              <w:t>Group 1</w:t>
            </w:r>
          </w:p>
        </w:tc>
        <w:tc>
          <w:tcPr>
            <w:tcW w:type="dxa" w:w="1987"/>
            <w:vAlign w:val="center"/>
            <w:shd w:fill="1F4E78"/>
          </w:tcPr>
          <w:p>
            <w:r/>
            <w:r>
              <w:rPr>
                <w:rFonts w:ascii="Arial" w:hAnsi="Arial"/>
                <w:b/>
                <w:color w:val="FFFFFF"/>
                <w:sz w:val="18"/>
              </w:rPr>
              <w:t>Group 2</w:t>
            </w:r>
          </w:p>
        </w:tc>
        <w:tc>
          <w:tcPr>
            <w:tcW w:type="dxa" w:w="1987"/>
            <w:vAlign w:val="center"/>
            <w:shd w:fill="1F4E78"/>
          </w:tcPr>
          <w:p>
            <w:r/>
            <w:r>
              <w:rPr>
                <w:rFonts w:ascii="Arial" w:hAnsi="Arial"/>
                <w:b/>
                <w:color w:val="FFFFFF"/>
                <w:sz w:val="18"/>
              </w:rPr>
              <w:t>Mean Diff</w:t>
            </w:r>
          </w:p>
        </w:tc>
        <w:tc>
          <w:tcPr>
            <w:tcW w:type="dxa" w:w="1987"/>
            <w:vAlign w:val="center"/>
            <w:shd w:fill="1F4E78"/>
          </w:tcPr>
          <w:p>
            <w:r/>
            <w:r>
              <w:rPr>
                <w:rFonts w:ascii="Arial" w:hAnsi="Arial"/>
                <w:b/>
                <w:color w:val="FFFFFF"/>
                <w:sz w:val="18"/>
              </w:rPr>
              <w:t>Adjusted p</w:t>
            </w:r>
          </w:p>
        </w:tc>
        <w:tc>
          <w:tcPr>
            <w:tcW w:type="dxa" w:w="1987"/>
            <w:vAlign w:val="center"/>
            <w:shd w:fill="1F4E78"/>
          </w:tcPr>
          <w:p>
            <w:r/>
            <w:r>
              <w:rPr>
                <w:rFonts w:ascii="Arial" w:hAnsi="Arial"/>
                <w:b/>
                <w:color w:val="FFFFFF"/>
                <w:sz w:val="18"/>
              </w:rPr>
              <w:t>Reject H₀</w:t>
            </w:r>
          </w:p>
        </w:tc>
      </w:tr>
      <w:tr>
        <w:tc>
          <w:tcPr>
            <w:tcW w:type="dxa" w:w="1987"/>
            <w:vAlign w:val="center"/>
          </w:tcPr>
          <w:p>
            <w:r/>
            <w:r>
              <w:rPr>
                <w:rFonts w:ascii="Arial" w:hAnsi="Arial"/>
                <w:b w:val="0"/>
                <w:sz w:val="18"/>
              </w:rPr>
              <w:t>10% Discount</w:t>
            </w:r>
          </w:p>
        </w:tc>
        <w:tc>
          <w:tcPr>
            <w:tcW w:type="dxa" w:w="1987"/>
            <w:vAlign w:val="center"/>
          </w:tcPr>
          <w:p>
            <w:r/>
            <w:r>
              <w:rPr>
                <w:rFonts w:ascii="Arial" w:hAnsi="Arial"/>
                <w:b w:val="0"/>
                <w:sz w:val="18"/>
              </w:rPr>
              <w:t>20% Discount</w:t>
            </w:r>
          </w:p>
        </w:tc>
        <w:tc>
          <w:tcPr>
            <w:tcW w:type="dxa" w:w="1987"/>
            <w:vAlign w:val="center"/>
          </w:tcPr>
          <w:p>
            <w:r/>
            <w:r>
              <w:rPr>
                <w:rFonts w:ascii="Arial" w:hAnsi="Arial"/>
                <w:b w:val="0"/>
                <w:sz w:val="18"/>
              </w:rPr>
              <w:t>-5.77</w:t>
            </w:r>
          </w:p>
        </w:tc>
        <w:tc>
          <w:tcPr>
            <w:tcW w:type="dxa" w:w="1987"/>
            <w:vAlign w:val="center"/>
          </w:tcPr>
          <w:p>
            <w:r/>
            <w:r>
              <w:rPr>
                <w:rFonts w:ascii="Arial" w:hAnsi="Arial"/>
                <w:b w:val="0"/>
                <w:sz w:val="18"/>
              </w:rPr>
              <w:t>0.0008</w:t>
            </w:r>
          </w:p>
        </w:tc>
        <w:tc>
          <w:tcPr>
            <w:tcW w:type="dxa" w:w="1987"/>
            <w:vAlign w:val="center"/>
          </w:tcPr>
          <w:p>
            <w:r/>
            <w:r>
              <w:rPr>
                <w:rFonts w:ascii="Arial" w:hAnsi="Arial"/>
                <w:b w:val="0"/>
                <w:sz w:val="18"/>
              </w:rPr>
              <w:t>True</w:t>
            </w:r>
          </w:p>
        </w:tc>
      </w:tr>
      <w:tr>
        <w:tc>
          <w:tcPr>
            <w:tcW w:type="dxa" w:w="1987"/>
            <w:vAlign w:val="center"/>
          </w:tcPr>
          <w:p>
            <w:r/>
            <w:r>
              <w:rPr>
                <w:rFonts w:ascii="Arial" w:hAnsi="Arial"/>
                <w:b w:val="0"/>
                <w:sz w:val="18"/>
              </w:rPr>
              <w:t>10% Discount</w:t>
            </w:r>
          </w:p>
        </w:tc>
        <w:tc>
          <w:tcPr>
            <w:tcW w:type="dxa" w:w="1987"/>
            <w:vAlign w:val="center"/>
          </w:tcPr>
          <w:p>
            <w:r/>
            <w:r>
              <w:rPr>
                <w:rFonts w:ascii="Arial" w:hAnsi="Arial"/>
                <w:b w:val="0"/>
                <w:sz w:val="18"/>
              </w:rPr>
              <w:t>Control</w:t>
            </w:r>
          </w:p>
        </w:tc>
        <w:tc>
          <w:tcPr>
            <w:tcW w:type="dxa" w:w="1987"/>
            <w:vAlign w:val="center"/>
          </w:tcPr>
          <w:p>
            <w:r/>
            <w:r>
              <w:rPr>
                <w:rFonts w:ascii="Arial" w:hAnsi="Arial"/>
                <w:b w:val="0"/>
                <w:sz w:val="18"/>
              </w:rPr>
              <w:t>5.46</w:t>
            </w:r>
          </w:p>
        </w:tc>
        <w:tc>
          <w:tcPr>
            <w:tcW w:type="dxa" w:w="1987"/>
            <w:vAlign w:val="center"/>
          </w:tcPr>
          <w:p>
            <w:r/>
            <w:r>
              <w:rPr>
                <w:rFonts w:ascii="Arial" w:hAnsi="Arial"/>
                <w:b w:val="0"/>
                <w:sz w:val="18"/>
              </w:rPr>
              <w:t>0.0076</w:t>
            </w:r>
          </w:p>
        </w:tc>
        <w:tc>
          <w:tcPr>
            <w:tcW w:type="dxa" w:w="1987"/>
            <w:vAlign w:val="center"/>
          </w:tcPr>
          <w:p>
            <w:r/>
            <w:r>
              <w:rPr>
                <w:rFonts w:ascii="Arial" w:hAnsi="Arial"/>
                <w:b w:val="0"/>
                <w:sz w:val="18"/>
              </w:rPr>
              <w:t>True</w:t>
            </w:r>
          </w:p>
        </w:tc>
      </w:tr>
      <w:tr>
        <w:tc>
          <w:tcPr>
            <w:tcW w:type="dxa" w:w="1987"/>
            <w:vAlign w:val="center"/>
          </w:tcPr>
          <w:p>
            <w:r/>
            <w:r>
              <w:rPr>
                <w:rFonts w:ascii="Arial" w:hAnsi="Arial"/>
                <w:b w:val="0"/>
                <w:sz w:val="18"/>
              </w:rPr>
              <w:t>20% Discount</w:t>
            </w:r>
          </w:p>
        </w:tc>
        <w:tc>
          <w:tcPr>
            <w:tcW w:type="dxa" w:w="1987"/>
            <w:vAlign w:val="center"/>
          </w:tcPr>
          <w:p>
            <w:r/>
            <w:r>
              <w:rPr>
                <w:rFonts w:ascii="Arial" w:hAnsi="Arial"/>
                <w:b w:val="0"/>
                <w:sz w:val="18"/>
              </w:rPr>
              <w:t>Control</w:t>
            </w:r>
          </w:p>
        </w:tc>
        <w:tc>
          <w:tcPr>
            <w:tcW w:type="dxa" w:w="1987"/>
            <w:vAlign w:val="center"/>
          </w:tcPr>
          <w:p>
            <w:r/>
            <w:r>
              <w:rPr>
                <w:rFonts w:ascii="Arial" w:hAnsi="Arial"/>
                <w:b w:val="0"/>
                <w:sz w:val="18"/>
              </w:rPr>
              <w:t>11.23</w:t>
            </w:r>
          </w:p>
        </w:tc>
        <w:tc>
          <w:tcPr>
            <w:tcW w:type="dxa" w:w="1987"/>
            <w:vAlign w:val="center"/>
          </w:tcPr>
          <w:p>
            <w:r/>
            <w:r>
              <w:rPr>
                <w:rFonts w:ascii="Arial" w:hAnsi="Arial"/>
                <w:b w:val="0"/>
                <w:sz w:val="18"/>
              </w:rPr>
              <w:t>0.0000</w:t>
            </w:r>
          </w:p>
        </w:tc>
        <w:tc>
          <w:tcPr>
            <w:tcW w:type="dxa" w:w="1987"/>
            <w:vAlign w:val="center"/>
          </w:tcPr>
          <w:p>
            <w:r/>
            <w:r>
              <w:rPr>
                <w:rFonts w:ascii="Arial" w:hAnsi="Arial"/>
                <w:b w:val="0"/>
                <w:sz w:val="18"/>
              </w:rPr>
              <w:t>True</w:t>
            </w:r>
          </w:p>
        </w:tc>
      </w:tr>
    </w:tbl>
    <w:p/>
    <w:p>
      <w:pPr>
        <w:pStyle w:val="Heading2"/>
      </w:pPr>
      <w:r>
        <w:t>7.5 Welch’s t-test — Control vs 20%</w:t>
      </w:r>
    </w:p>
    <w:p>
      <w:r>
        <w:t>Mean difference = ₹-11.23; t = 6.562; p = 4.27184e-10; 95% CI = [₹-14.61, ₹-7.86].</w:t>
      </w:r>
    </w:p>
    <w:p>
      <w:r>
        <w:t>This interval describes the plausible range of the AOV difference and is more informative than a binary significant/not-significant label alone.</w:t>
      </w:r>
    </w:p>
    <w:p>
      <w:pPr>
        <w:pStyle w:val="Heading1"/>
      </w:pPr>
      <w:r>
        <w:t>8. Business Impact</w:t>
      </w:r>
    </w:p>
    <w:p>
      <w:r>
        <w:drawing>
          <wp:inline xmlns:a="http://schemas.openxmlformats.org/drawingml/2006/main" xmlns:pic="http://schemas.openxmlformats.org/drawingml/2006/picture">
            <wp:extent cx="5760720" cy="3600450"/>
            <wp:docPr id="3" name="Picture 3"/>
            <wp:cNvGraphicFramePr>
              <a:graphicFrameLocks noChangeAspect="1"/>
            </wp:cNvGraphicFramePr>
            <a:graphic>
              <a:graphicData uri="http://schemas.openxmlformats.org/drawingml/2006/picture">
                <pic:pic>
                  <pic:nvPicPr>
                    <pic:cNvPr id="0" name="net_revenue_per_user.png"/>
                    <pic:cNvPicPr/>
                  </pic:nvPicPr>
                  <pic:blipFill>
                    <a:blip r:embed="rId12"/>
                    <a:stretch>
                      <a:fillRect/>
                    </a:stretch>
                  </pic:blipFill>
                  <pic:spPr>
                    <a:xfrm>
                      <a:off x="0" y="0"/>
                      <a:ext cx="5760720" cy="3600450"/>
                    </a:xfrm>
                    <a:prstGeom prst="rect"/>
                  </pic:spPr>
                </pic:pic>
              </a:graphicData>
            </a:graphic>
          </wp:inline>
        </w:drawing>
      </w:r>
    </w:p>
    <w:p>
      <w:pPr>
        <w:jc w:val="center"/>
      </w:pPr>
      <w:r>
        <w:t>Figure 3. Net revenue per user after estimated discount cost.</w:t>
      </w:r>
    </w:p>
    <w:p>
      <w:r>
        <w:t>This metric demonstrates why conversion should be paired with economics. In a real organization, the final KPI should normally be contribution margin or profit rather than revenue alone. The synthetic analysis uses net revenue per user as a simplified proxy.</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1F4E78"/>
          </w:tcPr>
          <w:p>
            <w:r/>
            <w:r>
              <w:rPr>
                <w:rFonts w:ascii="Arial" w:hAnsi="Arial"/>
                <w:b/>
                <w:color w:val="FFFFFF"/>
                <w:sz w:val="18"/>
              </w:rPr>
              <w:t>Group</w:t>
            </w:r>
          </w:p>
        </w:tc>
        <w:tc>
          <w:tcPr>
            <w:tcW w:type="dxa" w:w="1987"/>
            <w:vAlign w:val="center"/>
            <w:shd w:fill="1F4E78"/>
          </w:tcPr>
          <w:p>
            <w:r/>
            <w:r>
              <w:rPr>
                <w:rFonts w:ascii="Arial" w:hAnsi="Arial"/>
                <w:b/>
                <w:color w:val="FFFFFF"/>
                <w:sz w:val="18"/>
              </w:rPr>
              <w:t>Conversion</w:t>
            </w:r>
          </w:p>
        </w:tc>
        <w:tc>
          <w:tcPr>
            <w:tcW w:type="dxa" w:w="1987"/>
            <w:vAlign w:val="center"/>
            <w:shd w:fill="1F4E78"/>
          </w:tcPr>
          <w:p>
            <w:r/>
            <w:r>
              <w:rPr>
                <w:rFonts w:ascii="Arial" w:hAnsi="Arial"/>
                <w:b/>
                <w:color w:val="FFFFFF"/>
                <w:sz w:val="18"/>
              </w:rPr>
              <w:t>AOV</w:t>
            </w:r>
          </w:p>
        </w:tc>
        <w:tc>
          <w:tcPr>
            <w:tcW w:type="dxa" w:w="1987"/>
            <w:vAlign w:val="center"/>
            <w:shd w:fill="1F4E78"/>
          </w:tcPr>
          <w:p>
            <w:r/>
            <w:r>
              <w:rPr>
                <w:rFonts w:ascii="Arial" w:hAnsi="Arial"/>
                <w:b/>
                <w:color w:val="FFFFFF"/>
                <w:sz w:val="18"/>
              </w:rPr>
              <w:t>Net Revenue/User</w:t>
            </w:r>
          </w:p>
        </w:tc>
        <w:tc>
          <w:tcPr>
            <w:tcW w:type="dxa" w:w="1987"/>
            <w:vAlign w:val="center"/>
            <w:shd w:fill="1F4E78"/>
          </w:tcPr>
          <w:p>
            <w:r/>
            <w:r>
              <w:rPr>
                <w:rFonts w:ascii="Arial" w:hAnsi="Arial"/>
                <w:b/>
                <w:color w:val="FFFFFF"/>
                <w:sz w:val="18"/>
              </w:rPr>
              <w:t>Uplift vs Control</w:t>
            </w:r>
          </w:p>
        </w:tc>
      </w:tr>
      <w:tr>
        <w:tc>
          <w:tcPr>
            <w:tcW w:type="dxa" w:w="1987"/>
            <w:vAlign w:val="center"/>
          </w:tcPr>
          <w:p>
            <w:r/>
            <w:r>
              <w:rPr>
                <w:rFonts w:ascii="Arial" w:hAnsi="Arial"/>
                <w:b w:val="0"/>
                <w:sz w:val="18"/>
              </w:rPr>
              <w:t>Control</w:t>
            </w:r>
          </w:p>
        </w:tc>
        <w:tc>
          <w:tcPr>
            <w:tcW w:type="dxa" w:w="1987"/>
            <w:vAlign w:val="center"/>
          </w:tcPr>
          <w:p>
            <w:r/>
            <w:r>
              <w:rPr>
                <w:rFonts w:ascii="Arial" w:hAnsi="Arial"/>
                <w:b w:val="0"/>
                <w:sz w:val="18"/>
              </w:rPr>
              <w:t>14.50%</w:t>
            </w:r>
          </w:p>
        </w:tc>
        <w:tc>
          <w:tcPr>
            <w:tcW w:type="dxa" w:w="1987"/>
            <w:vAlign w:val="center"/>
          </w:tcPr>
          <w:p>
            <w:r/>
            <w:r>
              <w:rPr>
                <w:rFonts w:ascii="Arial" w:hAnsi="Arial"/>
                <w:b w:val="0"/>
                <w:sz w:val="18"/>
              </w:rPr>
              <w:t>₹64.45</w:t>
            </w:r>
          </w:p>
        </w:tc>
        <w:tc>
          <w:tcPr>
            <w:tcW w:type="dxa" w:w="1987"/>
            <w:vAlign w:val="center"/>
          </w:tcPr>
          <w:p>
            <w:r/>
            <w:r>
              <w:rPr>
                <w:rFonts w:ascii="Arial" w:hAnsi="Arial"/>
                <w:b w:val="0"/>
                <w:sz w:val="18"/>
              </w:rPr>
              <w:t>₹9.34</w:t>
            </w:r>
          </w:p>
        </w:tc>
        <w:tc>
          <w:tcPr>
            <w:tcW w:type="dxa" w:w="1987"/>
            <w:vAlign w:val="center"/>
          </w:tcPr>
          <w:p>
            <w:r/>
            <w:r>
              <w:rPr>
                <w:rFonts w:ascii="Arial" w:hAnsi="Arial"/>
                <w:b w:val="0"/>
                <w:sz w:val="18"/>
              </w:rPr>
              <w:t>0.0%</w:t>
            </w:r>
          </w:p>
        </w:tc>
      </w:tr>
      <w:tr>
        <w:tc>
          <w:tcPr>
            <w:tcW w:type="dxa" w:w="1987"/>
            <w:vAlign w:val="center"/>
          </w:tcPr>
          <w:p>
            <w:r/>
            <w:r>
              <w:rPr>
                <w:rFonts w:ascii="Arial" w:hAnsi="Arial"/>
                <w:b w:val="0"/>
                <w:sz w:val="18"/>
              </w:rPr>
              <w:t>10% Discount</w:t>
            </w:r>
          </w:p>
        </w:tc>
        <w:tc>
          <w:tcPr>
            <w:tcW w:type="dxa" w:w="1987"/>
            <w:vAlign w:val="center"/>
          </w:tcPr>
          <w:p>
            <w:r/>
            <w:r>
              <w:rPr>
                <w:rFonts w:ascii="Arial" w:hAnsi="Arial"/>
                <w:b w:val="0"/>
                <w:sz w:val="18"/>
              </w:rPr>
              <w:t>21.88%</w:t>
            </w:r>
          </w:p>
        </w:tc>
        <w:tc>
          <w:tcPr>
            <w:tcW w:type="dxa" w:w="1987"/>
            <w:vAlign w:val="center"/>
          </w:tcPr>
          <w:p>
            <w:r/>
            <w:r>
              <w:rPr>
                <w:rFonts w:ascii="Arial" w:hAnsi="Arial"/>
                <w:b w:val="0"/>
                <w:sz w:val="18"/>
              </w:rPr>
              <w:t>₹58.99</w:t>
            </w:r>
          </w:p>
        </w:tc>
        <w:tc>
          <w:tcPr>
            <w:tcW w:type="dxa" w:w="1987"/>
            <w:vAlign w:val="center"/>
          </w:tcPr>
          <w:p>
            <w:r/>
            <w:r>
              <w:rPr>
                <w:rFonts w:ascii="Arial" w:hAnsi="Arial"/>
                <w:b w:val="0"/>
                <w:sz w:val="18"/>
              </w:rPr>
              <w:t>₹11.62</w:t>
            </w:r>
          </w:p>
        </w:tc>
        <w:tc>
          <w:tcPr>
            <w:tcW w:type="dxa" w:w="1987"/>
            <w:vAlign w:val="center"/>
          </w:tcPr>
          <w:p>
            <w:r/>
            <w:r>
              <w:rPr>
                <w:rFonts w:ascii="Arial" w:hAnsi="Arial"/>
                <w:b w:val="0"/>
                <w:sz w:val="18"/>
              </w:rPr>
              <w:t>50.9%</w:t>
            </w:r>
          </w:p>
        </w:tc>
      </w:tr>
      <w:tr>
        <w:tc>
          <w:tcPr>
            <w:tcW w:type="dxa" w:w="1987"/>
            <w:vAlign w:val="center"/>
          </w:tcPr>
          <w:p>
            <w:r/>
            <w:r>
              <w:rPr>
                <w:rFonts w:ascii="Arial" w:hAnsi="Arial"/>
                <w:b w:val="0"/>
                <w:sz w:val="18"/>
              </w:rPr>
              <w:t>20% Discount</w:t>
            </w:r>
          </w:p>
        </w:tc>
        <w:tc>
          <w:tcPr>
            <w:tcW w:type="dxa" w:w="1987"/>
            <w:vAlign w:val="center"/>
          </w:tcPr>
          <w:p>
            <w:r/>
            <w:r>
              <w:rPr>
                <w:rFonts w:ascii="Arial" w:hAnsi="Arial"/>
                <w:b w:val="0"/>
                <w:sz w:val="18"/>
              </w:rPr>
              <w:t>24.84%</w:t>
            </w:r>
          </w:p>
        </w:tc>
        <w:tc>
          <w:tcPr>
            <w:tcW w:type="dxa" w:w="1987"/>
            <w:vAlign w:val="center"/>
          </w:tcPr>
          <w:p>
            <w:r/>
            <w:r>
              <w:rPr>
                <w:rFonts w:ascii="Arial" w:hAnsi="Arial"/>
                <w:b w:val="0"/>
                <w:sz w:val="18"/>
              </w:rPr>
              <w:t>₹53.22</w:t>
            </w:r>
          </w:p>
        </w:tc>
        <w:tc>
          <w:tcPr>
            <w:tcW w:type="dxa" w:w="1987"/>
            <w:vAlign w:val="center"/>
          </w:tcPr>
          <w:p>
            <w:r/>
            <w:r>
              <w:rPr>
                <w:rFonts w:ascii="Arial" w:hAnsi="Arial"/>
                <w:b w:val="0"/>
                <w:sz w:val="18"/>
              </w:rPr>
              <w:t>₹10.57</w:t>
            </w:r>
          </w:p>
        </w:tc>
        <w:tc>
          <w:tcPr>
            <w:tcW w:type="dxa" w:w="1987"/>
            <w:vAlign w:val="center"/>
          </w:tcPr>
          <w:p>
            <w:r/>
            <w:r>
              <w:rPr>
                <w:rFonts w:ascii="Arial" w:hAnsi="Arial"/>
                <w:b w:val="0"/>
                <w:sz w:val="18"/>
              </w:rPr>
              <w:t>71.3%</w:t>
            </w:r>
          </w:p>
        </w:tc>
      </w:tr>
    </w:tbl>
    <w:p/>
    <w:p>
      <w:pPr>
        <w:pStyle w:val="Heading1"/>
      </w:pPr>
      <w:r>
        <w:t>9. Robustness Check — Binomial GLM</w:t>
      </w:r>
    </w:p>
    <w:p>
      <w:r>
        <w:t>A binomial generalized linear model checks whether campaign effects remain after controlling for age, sessions, returning-customer status, and device. This is an internship-level extension beyond a single hypothesis test.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F4E78"/>
          </w:tcPr>
          <w:p>
            <w:r/>
            <w:r>
              <w:rPr>
                <w:rFonts w:ascii="Arial" w:hAnsi="Arial"/>
                <w:b/>
                <w:color w:val="FFFFFF"/>
                <w:sz w:val="18"/>
              </w:rPr>
              <w:t>Predictor</w:t>
            </w:r>
          </w:p>
        </w:tc>
        <w:tc>
          <w:tcPr>
            <w:tcW w:type="dxa" w:w="2484"/>
            <w:vAlign w:val="center"/>
            <w:shd w:fill="1F4E78"/>
          </w:tcPr>
          <w:p>
            <w:r/>
            <w:r>
              <w:rPr>
                <w:rFonts w:ascii="Arial" w:hAnsi="Arial"/>
                <w:b/>
                <w:color w:val="FFFFFF"/>
                <w:sz w:val="18"/>
              </w:rPr>
              <w:t>Coefficient</w:t>
            </w:r>
          </w:p>
        </w:tc>
        <w:tc>
          <w:tcPr>
            <w:tcW w:type="dxa" w:w="2484"/>
            <w:vAlign w:val="center"/>
            <w:shd w:fill="1F4E78"/>
          </w:tcPr>
          <w:p>
            <w:r/>
            <w:r>
              <w:rPr>
                <w:rFonts w:ascii="Arial" w:hAnsi="Arial"/>
                <w:b/>
                <w:color w:val="FFFFFF"/>
                <w:sz w:val="18"/>
              </w:rPr>
              <w:t>Odds Ratio</w:t>
            </w:r>
          </w:p>
        </w:tc>
        <w:tc>
          <w:tcPr>
            <w:tcW w:type="dxa" w:w="2484"/>
            <w:vAlign w:val="center"/>
            <w:shd w:fill="1F4E78"/>
          </w:tcPr>
          <w:p>
            <w:r/>
            <w:r>
              <w:rPr>
                <w:rFonts w:ascii="Arial" w:hAnsi="Arial"/>
                <w:b/>
                <w:color w:val="FFFFFF"/>
                <w:sz w:val="18"/>
              </w:rPr>
              <w:t>p-value</w:t>
            </w:r>
          </w:p>
        </w:tc>
      </w:tr>
      <w:tr>
        <w:tc>
          <w:tcPr>
            <w:tcW w:type="dxa" w:w="2484"/>
            <w:vAlign w:val="center"/>
          </w:tcPr>
          <w:p>
            <w:r/>
            <w:r>
              <w:rPr>
                <w:rFonts w:ascii="Arial" w:hAnsi="Arial"/>
                <w:b w:val="0"/>
                <w:sz w:val="18"/>
              </w:rPr>
              <w:t>C(group)[T.20% Discount]</w:t>
            </w:r>
          </w:p>
        </w:tc>
        <w:tc>
          <w:tcPr>
            <w:tcW w:type="dxa" w:w="2484"/>
            <w:vAlign w:val="center"/>
          </w:tcPr>
          <w:p>
            <w:r/>
            <w:r>
              <w:rPr>
                <w:rFonts w:ascii="Arial" w:hAnsi="Arial"/>
                <w:b w:val="0"/>
                <w:sz w:val="18"/>
              </w:rPr>
              <w:t>0.186</w:t>
            </w:r>
          </w:p>
        </w:tc>
        <w:tc>
          <w:tcPr>
            <w:tcW w:type="dxa" w:w="2484"/>
            <w:vAlign w:val="center"/>
          </w:tcPr>
          <w:p>
            <w:r/>
            <w:r>
              <w:rPr>
                <w:rFonts w:ascii="Arial" w:hAnsi="Arial"/>
                <w:b w:val="0"/>
                <w:sz w:val="18"/>
              </w:rPr>
              <w:t>1.205</w:t>
            </w:r>
          </w:p>
        </w:tc>
        <w:tc>
          <w:tcPr>
            <w:tcW w:type="dxa" w:w="2484"/>
            <w:vAlign w:val="center"/>
          </w:tcPr>
          <w:p>
            <w:r/>
            <w:r>
              <w:rPr>
                <w:rFonts w:ascii="Arial" w:hAnsi="Arial"/>
                <w:b w:val="0"/>
                <w:sz w:val="18"/>
              </w:rPr>
              <w:t>0.180081</w:t>
            </w:r>
          </w:p>
        </w:tc>
      </w:tr>
      <w:tr>
        <w:tc>
          <w:tcPr>
            <w:tcW w:type="dxa" w:w="2484"/>
            <w:vAlign w:val="center"/>
          </w:tcPr>
          <w:p>
            <w:r/>
            <w:r>
              <w:rPr>
                <w:rFonts w:ascii="Arial" w:hAnsi="Arial"/>
                <w:b w:val="0"/>
                <w:sz w:val="18"/>
              </w:rPr>
              <w:t>sessions</w:t>
            </w:r>
          </w:p>
        </w:tc>
        <w:tc>
          <w:tcPr>
            <w:tcW w:type="dxa" w:w="2484"/>
            <w:vAlign w:val="center"/>
          </w:tcPr>
          <w:p>
            <w:r/>
            <w:r>
              <w:rPr>
                <w:rFonts w:ascii="Arial" w:hAnsi="Arial"/>
                <w:b w:val="0"/>
                <w:sz w:val="18"/>
              </w:rPr>
              <w:t>0.157</w:t>
            </w:r>
          </w:p>
        </w:tc>
        <w:tc>
          <w:tcPr>
            <w:tcW w:type="dxa" w:w="2484"/>
            <w:vAlign w:val="center"/>
          </w:tcPr>
          <w:p>
            <w:r/>
            <w:r>
              <w:rPr>
                <w:rFonts w:ascii="Arial" w:hAnsi="Arial"/>
                <w:b w:val="0"/>
                <w:sz w:val="18"/>
              </w:rPr>
              <w:t>1.170</w:t>
            </w:r>
          </w:p>
        </w:tc>
        <w:tc>
          <w:tcPr>
            <w:tcW w:type="dxa" w:w="2484"/>
            <w:vAlign w:val="center"/>
          </w:tcPr>
          <w:p>
            <w:r/>
            <w:r>
              <w:rPr>
                <w:rFonts w:ascii="Arial" w:hAnsi="Arial"/>
                <w:b w:val="0"/>
                <w:sz w:val="18"/>
              </w:rPr>
              <w:t>3.51835e-08</w:t>
            </w:r>
          </w:p>
        </w:tc>
      </w:tr>
      <w:tr>
        <w:tc>
          <w:tcPr>
            <w:tcW w:type="dxa" w:w="2484"/>
            <w:vAlign w:val="center"/>
          </w:tcPr>
          <w:p>
            <w:r/>
            <w:r>
              <w:rPr>
                <w:rFonts w:ascii="Arial" w:hAnsi="Arial"/>
                <w:b w:val="0"/>
                <w:sz w:val="18"/>
              </w:rPr>
              <w:t>returning_customer</w:t>
            </w:r>
          </w:p>
        </w:tc>
        <w:tc>
          <w:tcPr>
            <w:tcW w:type="dxa" w:w="2484"/>
            <w:vAlign w:val="center"/>
          </w:tcPr>
          <w:p>
            <w:r/>
            <w:r>
              <w:rPr>
                <w:rFonts w:ascii="Arial" w:hAnsi="Arial"/>
                <w:b w:val="0"/>
                <w:sz w:val="18"/>
              </w:rPr>
              <w:t>0.278</w:t>
            </w:r>
          </w:p>
        </w:tc>
        <w:tc>
          <w:tcPr>
            <w:tcW w:type="dxa" w:w="2484"/>
            <w:vAlign w:val="center"/>
          </w:tcPr>
          <w:p>
            <w:r/>
            <w:r>
              <w:rPr>
                <w:rFonts w:ascii="Arial" w:hAnsi="Arial"/>
                <w:b w:val="0"/>
                <w:sz w:val="18"/>
              </w:rPr>
              <w:t>1.320</w:t>
            </w:r>
          </w:p>
        </w:tc>
        <w:tc>
          <w:tcPr>
            <w:tcW w:type="dxa" w:w="2484"/>
            <w:vAlign w:val="center"/>
          </w:tcPr>
          <w:p>
            <w:r/>
            <w:r>
              <w:rPr>
                <w:rFonts w:ascii="Arial" w:hAnsi="Arial"/>
                <w:b w:val="0"/>
                <w:sz w:val="18"/>
              </w:rPr>
              <w:t>0.0208684</w:t>
            </w:r>
          </w:p>
        </w:tc>
      </w:tr>
      <w:tr>
        <w:tc>
          <w:tcPr>
            <w:tcW w:type="dxa" w:w="2484"/>
            <w:vAlign w:val="center"/>
          </w:tcPr>
          <w:p>
            <w:r/>
            <w:r>
              <w:rPr>
                <w:rFonts w:ascii="Arial" w:hAnsi="Arial"/>
                <w:b w:val="0"/>
                <w:sz w:val="18"/>
              </w:rPr>
              <w:t>C(device)[T.Mobile]</w:t>
            </w:r>
          </w:p>
        </w:tc>
        <w:tc>
          <w:tcPr>
            <w:tcW w:type="dxa" w:w="2484"/>
            <w:vAlign w:val="center"/>
          </w:tcPr>
          <w:p>
            <w:r/>
            <w:r>
              <w:rPr>
                <w:rFonts w:ascii="Arial" w:hAnsi="Arial"/>
                <w:b w:val="0"/>
                <w:sz w:val="18"/>
              </w:rPr>
              <w:t>-0.101</w:t>
            </w:r>
          </w:p>
        </w:tc>
        <w:tc>
          <w:tcPr>
            <w:tcW w:type="dxa" w:w="2484"/>
            <w:vAlign w:val="center"/>
          </w:tcPr>
          <w:p>
            <w:r/>
            <w:r>
              <w:rPr>
                <w:rFonts w:ascii="Arial" w:hAnsi="Arial"/>
                <w:b w:val="0"/>
                <w:sz w:val="18"/>
              </w:rPr>
              <w:t>0.904</w:t>
            </w:r>
          </w:p>
        </w:tc>
        <w:tc>
          <w:tcPr>
            <w:tcW w:type="dxa" w:w="2484"/>
            <w:vAlign w:val="center"/>
          </w:tcPr>
          <w:p>
            <w:r/>
            <w:r>
              <w:rPr>
                <w:rFonts w:ascii="Arial" w:hAnsi="Arial"/>
                <w:b w:val="0"/>
                <w:sz w:val="18"/>
              </w:rPr>
              <w:t>0.423454</w:t>
            </w:r>
          </w:p>
        </w:tc>
      </w:tr>
    </w:tbl>
    <w:p/>
    <w:p>
      <w:r>
        <w:t>Odds ratios above 1 indicate higher modeled odds relative to the reference category, holding other variables constant.</w:t>
      </w:r>
    </w:p>
    <w:p>
      <w:pPr>
        <w:pStyle w:val="Heading1"/>
      </w:pPr>
      <w:r>
        <w:t>10. Interpretation &amp; Conclusion</w:t>
      </w:r>
    </w:p>
    <w:p>
      <w:r>
        <w:t>The analysis supports the primary hypothesis that campaign treatment is associated with conversion differences in this simulated experiment. The discount groups show higher conversion than Control, and the statistical tests provide evidence that the differences are unlikely to be explained by random sampling variation alone under the model assumptions.</w:t>
      </w:r>
    </w:p>
    <w:p>
      <w:r>
        <w:t>At the same time, AOV falls as the discount becomes larger. This creates an important business trade-off: acquiring an additional order is not automatically equivalent to creating additional value.</w:t>
      </w:r>
    </w:p>
    <w:p>
      <w:r>
        <w:t>A real company should therefore combine conversion, incremental revenue, margin, customer lifetime value, and retention before selecting a promotion. The analysis demonstrates the statistical workflow needed to reach that decision without pretending that a p-value alone answers a business question.</w:t>
      </w:r>
    </w:p>
    <w:p>
      <w:pPr>
        <w:pStyle w:val="Heading1"/>
      </w:pPr>
      <w:r>
        <w:t>11. Limitations</w:t>
      </w:r>
    </w:p>
    <w:p>
      <w:pPr>
        <w:pStyle w:val="ListBullet"/>
      </w:pPr>
      <w:r>
        <w:t>The dataset is synthetic and therefore cannot establish real customer behavior.</w:t>
      </w:r>
    </w:p>
    <w:p>
      <w:pPr>
        <w:pStyle w:val="ListBullet"/>
      </w:pPr>
      <w:r>
        <w:t>AOV is analyzed only among purchasers; this is conditional on conversion.</w:t>
      </w:r>
    </w:p>
    <w:p>
      <w:pPr>
        <w:pStyle w:val="ListBullet"/>
      </w:pPr>
      <w:r>
        <w:t>Multiple tests can increase false-positive risk; Tukey HSD is used for post-hoc AOV comparisons.</w:t>
      </w:r>
    </w:p>
    <w:p>
      <w:pPr>
        <w:pStyle w:val="ListBullet"/>
      </w:pPr>
      <w:r>
        <w:t>A production experiment should include power analysis, pre-defined primary metrics, treatment integrity checks, and margin-level outcomes.</w:t>
      </w:r>
    </w:p>
    <w:p>
      <w:pPr>
        <w:pStyle w:val="ListBullet"/>
      </w:pPr>
      <w:r>
        <w:t>Long-term effects such as retention and customer lifetime value are outside this short experiment.</w:t>
      </w:r>
    </w:p>
    <w:p>
      <w:pPr>
        <w:pStyle w:val="Heading1"/>
      </w:pPr>
      <w:r>
        <w:t>12. 30–35 Hour Internship Work Plan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8"/>
          </w:tcPr>
          <w:p>
            <w:r/>
            <w:r>
              <w:rPr>
                <w:rFonts w:ascii="Arial" w:hAnsi="Arial"/>
                <w:b/>
                <w:color w:val="FFFFFF"/>
                <w:sz w:val="18"/>
              </w:rPr>
              <w:t>Workstream</w:t>
            </w:r>
          </w:p>
        </w:tc>
        <w:tc>
          <w:tcPr>
            <w:tcW w:type="dxa" w:w="3312"/>
            <w:vAlign w:val="center"/>
            <w:shd w:fill="1F4E78"/>
          </w:tcPr>
          <w:p>
            <w:r/>
            <w:r>
              <w:rPr>
                <w:rFonts w:ascii="Arial" w:hAnsi="Arial"/>
                <w:b/>
                <w:color w:val="FFFFFF"/>
                <w:sz w:val="18"/>
              </w:rPr>
              <w:t>Hours</w:t>
            </w:r>
          </w:p>
        </w:tc>
        <w:tc>
          <w:tcPr>
            <w:tcW w:type="dxa" w:w="3312"/>
            <w:vAlign w:val="center"/>
            <w:shd w:fill="1F4E78"/>
          </w:tcPr>
          <w:p>
            <w:r/>
            <w:r>
              <w:rPr>
                <w:rFonts w:ascii="Arial" w:hAnsi="Arial"/>
                <w:b/>
                <w:color w:val="FFFFFF"/>
                <w:sz w:val="18"/>
              </w:rPr>
              <w:t>Deliverable</w:t>
            </w:r>
          </w:p>
        </w:tc>
      </w:tr>
      <w:tr>
        <w:tc>
          <w:tcPr>
            <w:tcW w:type="dxa" w:w="3312"/>
            <w:vAlign w:val="center"/>
          </w:tcPr>
          <w:p>
            <w:r/>
            <w:r>
              <w:rPr>
                <w:rFonts w:ascii="Arial" w:hAnsi="Arial"/>
                <w:b w:val="0"/>
                <w:sz w:val="18"/>
              </w:rPr>
              <w:t>Problem framing &amp; hypotheses</w:t>
            </w:r>
          </w:p>
        </w:tc>
        <w:tc>
          <w:tcPr>
            <w:tcW w:type="dxa" w:w="3312"/>
            <w:vAlign w:val="center"/>
          </w:tcPr>
          <w:p>
            <w:r/>
            <w:r>
              <w:rPr>
                <w:rFonts w:ascii="Arial" w:hAnsi="Arial"/>
                <w:b w:val="0"/>
                <w:sz w:val="18"/>
              </w:rPr>
              <w:t>3</w:t>
            </w:r>
          </w:p>
        </w:tc>
        <w:tc>
          <w:tcPr>
            <w:tcW w:type="dxa" w:w="3312"/>
            <w:vAlign w:val="center"/>
          </w:tcPr>
          <w:p>
            <w:r/>
            <w:r>
              <w:rPr>
                <w:rFonts w:ascii="Arial" w:hAnsi="Arial"/>
                <w:b w:val="0"/>
                <w:sz w:val="18"/>
              </w:rPr>
              <w:t>Business question + testable hypotheses</w:t>
            </w:r>
          </w:p>
        </w:tc>
      </w:tr>
      <w:tr>
        <w:tc>
          <w:tcPr>
            <w:tcW w:type="dxa" w:w="3312"/>
            <w:vAlign w:val="center"/>
          </w:tcPr>
          <w:p>
            <w:r/>
            <w:r>
              <w:rPr>
                <w:rFonts w:ascii="Arial" w:hAnsi="Arial"/>
                <w:b w:val="0"/>
                <w:sz w:val="18"/>
              </w:rPr>
              <w:t>Data design &amp; documentation</w:t>
            </w:r>
          </w:p>
        </w:tc>
        <w:tc>
          <w:tcPr>
            <w:tcW w:type="dxa" w:w="3312"/>
            <w:vAlign w:val="center"/>
          </w:tcPr>
          <w:p>
            <w:r/>
            <w:r>
              <w:rPr>
                <w:rFonts w:ascii="Arial" w:hAnsi="Arial"/>
                <w:b w:val="0"/>
                <w:sz w:val="18"/>
              </w:rPr>
              <w:t>4</w:t>
            </w:r>
          </w:p>
        </w:tc>
        <w:tc>
          <w:tcPr>
            <w:tcW w:type="dxa" w:w="3312"/>
            <w:vAlign w:val="center"/>
          </w:tcPr>
          <w:p>
            <w:r/>
            <w:r>
              <w:rPr>
                <w:rFonts w:ascii="Arial" w:hAnsi="Arial"/>
                <w:b w:val="0"/>
                <w:sz w:val="18"/>
              </w:rPr>
              <w:t>Dataset + data dictionary</w:t>
            </w:r>
          </w:p>
        </w:tc>
      </w:tr>
      <w:tr>
        <w:tc>
          <w:tcPr>
            <w:tcW w:type="dxa" w:w="3312"/>
            <w:vAlign w:val="center"/>
          </w:tcPr>
          <w:p>
            <w:r/>
            <w:r>
              <w:rPr>
                <w:rFonts w:ascii="Arial" w:hAnsi="Arial"/>
                <w:b w:val="0"/>
                <w:sz w:val="18"/>
              </w:rPr>
              <w:t>Cleaning &amp; EDA</w:t>
            </w:r>
          </w:p>
        </w:tc>
        <w:tc>
          <w:tcPr>
            <w:tcW w:type="dxa" w:w="3312"/>
            <w:vAlign w:val="center"/>
          </w:tcPr>
          <w:p>
            <w:r/>
            <w:r>
              <w:rPr>
                <w:rFonts w:ascii="Arial" w:hAnsi="Arial"/>
                <w:b w:val="0"/>
                <w:sz w:val="18"/>
              </w:rPr>
              <w:t>5</w:t>
            </w:r>
          </w:p>
        </w:tc>
        <w:tc>
          <w:tcPr>
            <w:tcW w:type="dxa" w:w="3312"/>
            <w:vAlign w:val="center"/>
          </w:tcPr>
          <w:p>
            <w:r/>
            <w:r>
              <w:rPr>
                <w:rFonts w:ascii="Arial" w:hAnsi="Arial"/>
                <w:b w:val="0"/>
                <w:sz w:val="18"/>
              </w:rPr>
              <w:t>Quality checks + exploratory charts</w:t>
            </w:r>
          </w:p>
        </w:tc>
      </w:tr>
      <w:tr>
        <w:tc>
          <w:tcPr>
            <w:tcW w:type="dxa" w:w="3312"/>
            <w:vAlign w:val="center"/>
          </w:tcPr>
          <w:p>
            <w:r/>
            <w:r>
              <w:rPr>
                <w:rFonts w:ascii="Arial" w:hAnsi="Arial"/>
                <w:b w:val="0"/>
                <w:sz w:val="18"/>
              </w:rPr>
              <w:t>Statistical methodology</w:t>
            </w:r>
          </w:p>
        </w:tc>
        <w:tc>
          <w:tcPr>
            <w:tcW w:type="dxa" w:w="3312"/>
            <w:vAlign w:val="center"/>
          </w:tcPr>
          <w:p>
            <w:r/>
            <w:r>
              <w:rPr>
                <w:rFonts w:ascii="Arial" w:hAnsi="Arial"/>
                <w:b w:val="0"/>
                <w:sz w:val="18"/>
              </w:rPr>
              <w:t>4</w:t>
            </w:r>
          </w:p>
        </w:tc>
        <w:tc>
          <w:tcPr>
            <w:tcW w:type="dxa" w:w="3312"/>
            <w:vAlign w:val="center"/>
          </w:tcPr>
          <w:p>
            <w:r/>
            <w:r>
              <w:rPr>
                <w:rFonts w:ascii="Arial" w:hAnsi="Arial"/>
                <w:b w:val="0"/>
                <w:sz w:val="18"/>
              </w:rPr>
              <w:t>Test selection + assumptions</w:t>
            </w:r>
          </w:p>
        </w:tc>
      </w:tr>
      <w:tr>
        <w:tc>
          <w:tcPr>
            <w:tcW w:type="dxa" w:w="3312"/>
            <w:vAlign w:val="center"/>
          </w:tcPr>
          <w:p>
            <w:r/>
            <w:r>
              <w:rPr>
                <w:rFonts w:ascii="Arial" w:hAnsi="Arial"/>
                <w:b w:val="0"/>
                <w:sz w:val="18"/>
              </w:rPr>
              <w:t>Python implementation</w:t>
            </w:r>
          </w:p>
        </w:tc>
        <w:tc>
          <w:tcPr>
            <w:tcW w:type="dxa" w:w="3312"/>
            <w:vAlign w:val="center"/>
          </w:tcPr>
          <w:p>
            <w:r/>
            <w:r>
              <w:rPr>
                <w:rFonts w:ascii="Arial" w:hAnsi="Arial"/>
                <w:b w:val="0"/>
                <w:sz w:val="18"/>
              </w:rPr>
              <w:t>6</w:t>
            </w:r>
          </w:p>
        </w:tc>
        <w:tc>
          <w:tcPr>
            <w:tcW w:type="dxa" w:w="3312"/>
            <w:vAlign w:val="center"/>
          </w:tcPr>
          <w:p>
            <w:r/>
            <w:r>
              <w:rPr>
                <w:rFonts w:ascii="Arial" w:hAnsi="Arial"/>
                <w:b w:val="0"/>
                <w:sz w:val="18"/>
              </w:rPr>
              <w:t>Reproducible analysis</w:t>
            </w:r>
          </w:p>
        </w:tc>
      </w:tr>
      <w:tr>
        <w:tc>
          <w:tcPr>
            <w:tcW w:type="dxa" w:w="3312"/>
            <w:vAlign w:val="center"/>
          </w:tcPr>
          <w:p>
            <w:r/>
            <w:r>
              <w:rPr>
                <w:rFonts w:ascii="Arial" w:hAnsi="Arial"/>
                <w:b w:val="0"/>
                <w:sz w:val="18"/>
              </w:rPr>
              <w:t>Visualization &amp; interpretation</w:t>
            </w:r>
          </w:p>
        </w:tc>
        <w:tc>
          <w:tcPr>
            <w:tcW w:type="dxa" w:w="3312"/>
            <w:vAlign w:val="center"/>
          </w:tcPr>
          <w:p>
            <w:r/>
            <w:r>
              <w:rPr>
                <w:rFonts w:ascii="Arial" w:hAnsi="Arial"/>
                <w:b w:val="0"/>
                <w:sz w:val="18"/>
              </w:rPr>
              <w:t>4</w:t>
            </w:r>
          </w:p>
        </w:tc>
        <w:tc>
          <w:tcPr>
            <w:tcW w:type="dxa" w:w="3312"/>
            <w:vAlign w:val="center"/>
          </w:tcPr>
          <w:p>
            <w:r/>
            <w:r>
              <w:rPr>
                <w:rFonts w:ascii="Arial" w:hAnsi="Arial"/>
                <w:b w:val="0"/>
                <w:sz w:val="18"/>
              </w:rPr>
              <w:t>Charts + statistical explanation</w:t>
            </w:r>
          </w:p>
        </w:tc>
      </w:tr>
      <w:tr>
        <w:tc>
          <w:tcPr>
            <w:tcW w:type="dxa" w:w="3312"/>
            <w:vAlign w:val="center"/>
          </w:tcPr>
          <w:p>
            <w:r/>
            <w:r>
              <w:rPr>
                <w:rFonts w:ascii="Arial" w:hAnsi="Arial"/>
                <w:b w:val="0"/>
                <w:sz w:val="18"/>
              </w:rPr>
              <w:t>Final documentation &amp; review</w:t>
            </w:r>
          </w:p>
        </w:tc>
        <w:tc>
          <w:tcPr>
            <w:tcW w:type="dxa" w:w="3312"/>
            <w:vAlign w:val="center"/>
          </w:tcPr>
          <w:p>
            <w:r/>
            <w:r>
              <w:rPr>
                <w:rFonts w:ascii="Arial" w:hAnsi="Arial"/>
                <w:b w:val="0"/>
                <w:sz w:val="18"/>
              </w:rPr>
              <w:t>5</w:t>
            </w:r>
          </w:p>
        </w:tc>
        <w:tc>
          <w:tcPr>
            <w:tcW w:type="dxa" w:w="3312"/>
            <w:vAlign w:val="center"/>
          </w:tcPr>
          <w:p>
            <w:r/>
            <w:r>
              <w:rPr>
                <w:rFonts w:ascii="Arial" w:hAnsi="Arial"/>
                <w:b w:val="0"/>
                <w:sz w:val="18"/>
              </w:rPr>
              <w:t>Polished report</w:t>
            </w:r>
          </w:p>
        </w:tc>
      </w:tr>
      <w:tr>
        <w:tc>
          <w:tcPr>
            <w:tcW w:type="dxa" w:w="3312"/>
            <w:vAlign w:val="center"/>
          </w:tcPr>
          <w:p>
            <w:r/>
            <w:r>
              <w:rPr>
                <w:rFonts w:ascii="Arial" w:hAnsi="Arial"/>
                <w:b w:val="0"/>
                <w:sz w:val="18"/>
              </w:rPr>
              <w:t>Total</w:t>
            </w:r>
          </w:p>
        </w:tc>
        <w:tc>
          <w:tcPr>
            <w:tcW w:type="dxa" w:w="3312"/>
            <w:vAlign w:val="center"/>
          </w:tcPr>
          <w:p>
            <w:r/>
            <w:r>
              <w:rPr>
                <w:rFonts w:ascii="Arial" w:hAnsi="Arial"/>
                <w:b w:val="0"/>
                <w:sz w:val="18"/>
              </w:rPr>
              <w:t>31</w:t>
            </w:r>
          </w:p>
        </w:tc>
        <w:tc>
          <w:tcPr>
            <w:tcW w:type="dxa" w:w="3312"/>
            <w:vAlign w:val="center"/>
          </w:tcPr>
          <w:p>
            <w:r/>
            <w:r>
              <w:rPr>
                <w:rFonts w:ascii="Arial" w:hAnsi="Arial"/>
                <w:b w:val="0"/>
                <w:sz w:val="18"/>
              </w:rPr>
              <w:t>Complete project</w:t>
            </w:r>
          </w:p>
        </w:tc>
      </w:tr>
    </w:tbl>
    <w:p/>
    <w:p>
      <w:r>
        <w:t>This is a suggested 31-hour work plan aligned with the assignment requirement; it is not a claim about hours actually spent.</w:t>
      </w:r>
    </w:p>
    <w:p>
      <w:pPr>
        <w:pStyle w:val="Heading1"/>
      </w:pPr>
      <w:r>
        <w:t>13. Reproducible Python Code</w:t>
      </w:r>
    </w:p>
    <w:p>
      <w:pPr>
        <w:ind w:left="288"/>
      </w:pPr>
      <w:r>
        <w:rPr>
          <w:rFonts w:ascii="Consolas" w:hAnsi="Consolas"/>
          <w:sz w:val="16"/>
        </w:rPr>
        <w:t>import pandas as pd</w:t>
        <w:br/>
        <w:t>from scipy import stats</w:t>
        <w:br/>
        <w:t>from statsmodels.stats.proportion import proportions_ztest</w:t>
        <w:br/>
        <w:t>from statsmodels.stats.multicomp import pairwise_tukeyhsd</w:t>
        <w:br/>
        <w:t>import statsmodels.formula.api as smf</w:t>
        <w:br/>
        <w:t>import statsmodels.api as sm</w:t>
        <w:br/>
        <w:br/>
        <w:t>df = pd.read_csv("week3_ecommerce_ab_test_dataset.csv")</w:t>
        <w:br/>
        <w:br/>
        <w:t># Conversion summary</w:t>
        <w:br/>
        <w:t>summary = df.groupby("group")["converted"].agg(["count", "sum", "mean"])</w:t>
        <w:br/>
        <w:br/>
        <w:t># 1. Overall conversion test</w:t>
        <w:br/>
        <w:t>contingency = pd.crosstab(df["group"], df["converted"])</w:t>
        <w:br/>
        <w:t>chi2, p, dof, expected = stats.chi2_contingency(contingency)</w:t>
        <w:br/>
        <w:br/>
        <w:t># 2. Control vs 20% conversion test</w:t>
        <w:br/>
        <w:t>control = df[df.group == "Control"]</w:t>
        <w:br/>
        <w:t>treat20 = df[df.group == "20% Discount"]</w:t>
        <w:br/>
        <w:t>counts = [control.converted.sum(), treat20.converted.sum()]</w:t>
        <w:br/>
        <w:t>nobs = [len(control), len(treat20)]</w:t>
        <w:br/>
        <w:t>z, p_pair = proportions_ztest(counts, nobs)</w:t>
        <w:br/>
        <w:br/>
        <w:t># 3. AOV ANOVA</w:t>
        <w:br/>
        <w:t>purchasers = df[df.converted == 1]</w:t>
        <w:br/>
        <w:t>groups = [</w:t>
        <w:br/>
        <w:t xml:space="preserve">    purchasers.loc[purchasers.group == g, "order_value"]</w:t>
        <w:br/>
        <w:t xml:space="preserve">    for g in ["Control", "10% Discount", "20% Discount"]</w:t>
        <w:br/>
        <w:t>]</w:t>
        <w:br/>
        <w:t>F, p_anova = stats.f_oneway(*groups)</w:t>
        <w:br/>
        <w:br/>
        <w:t># 4. Tukey post-hoc</w:t>
        <w:br/>
        <w:t>tukey = pairwise_tukeyhsd(</w:t>
        <w:br/>
        <w:t xml:space="preserve">    purchasers["order_value"], purchasers["group"]</w:t>
        <w:br/>
        <w:t>)</w:t>
        <w:br/>
        <w:br/>
        <w:t># 5. Welch's t-test</w:t>
        <w:br/>
        <w:t>a = purchasers.loc[purchasers.group == "Control", "order_value"]</w:t>
        <w:br/>
        <w:t>b = purchasers.loc[purchasers.group == "20% Discount", "order_value"]</w:t>
        <w:br/>
        <w:t>t_stat, p_t = stats.ttest_ind(a, b, equal_var=False)</w:t>
        <w:br/>
        <w:br/>
        <w:t># 6. Robustness check</w:t>
        <w:br/>
        <w:t>model = smf.glm(</w:t>
        <w:br/>
        <w:t xml:space="preserve">    "converted ~ C(group) + age + sessions + returning_customer + C(device)",</w:t>
        <w:br/>
        <w:t xml:space="preserve">    data=df, family=sm.families.Binomial()</w:t>
        <w:br/>
        <w:t>).fit()</w:t>
        <w:br/>
        <w:br/>
        <w:t>print("Chi-square p:", p)</w:t>
        <w:br/>
        <w:t>print("Pairwise conversion p:", p_pair)</w:t>
        <w:br/>
        <w:t>print("ANOVA p:", p_anova)</w:t>
        <w:br/>
        <w:t>print("Welch t-test p:", p_t)</w:t>
        <w:br/>
        <w:t>print(model.summary())</w:t>
      </w:r>
    </w:p>
    <w:p>
      <w:pPr>
        <w:pStyle w:val="Heading1"/>
      </w:pPr>
      <w:r>
        <w:t>14. Submission Checklist</w:t>
      </w:r>
    </w:p>
    <w:p>
      <w:r>
        <w:t>✓ Clear real-world hypothesis and null/alternative hypotheses</w:t>
      </w:r>
    </w:p>
    <w:p>
      <w:r>
        <w:t>✓ Documented data source and data dictionary</w:t>
      </w:r>
    </w:p>
    <w:p>
      <w:r>
        <w:t>✓ Multiple appropriate statistical tests</w:t>
      </w:r>
    </w:p>
    <w:p>
      <w:r>
        <w:t>✓ p-values and confidence-interval interpretation</w:t>
      </w:r>
    </w:p>
    <w:p>
      <w:r>
        <w:t>✓ Visualizations supporting the analysis</w:t>
      </w:r>
    </w:p>
    <w:p>
      <w:r>
        <w:t>✓ Business interpretation rather than p-value-only reporting</w:t>
      </w:r>
    </w:p>
    <w:p>
      <w:r>
        <w:t>✓ Limitations and assumptions</w:t>
      </w:r>
    </w:p>
    <w:p>
      <w:r>
        <w:t>✓ Reproducible Python code</w:t>
      </w:r>
    </w:p>
    <w:p>
      <w:r>
        <w:t>✓ 30–35 hour workload plan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