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Playwright Web Automation MCP Integration</w:t>
      </w:r>
    </w:p>
    <w:p>
      <w:r>
        <w:t>Playwright Web Automation MCP Integration</w:t>
        <w:br/>
        <w:t>Document ID: doc_16_playwright_mcp</w:t>
        <w:br/>
        <w:t>Topics: playwright, mcp, automation</w:t>
      </w:r>
    </w:p>
    <w:p>
      <w:r>
        <w:t>1. Overview</w:t>
        <w:br/>
        <w:t>This technical specification details playwright web automation mcp integration within the MCPPRO orchestration platform.</w:t>
        <w:br/>
        <w:t>Detailed sections cover architectural contracts, runtime memory budgets, error handling semantics, and telemetry capture.</w:t>
      </w:r>
    </w:p>
    <w:p>
      <w:r>
        <w:t>2. Implementation Details</w:t>
        <w:br/>
        <w:t>The subsystem is encapsulated in the MCPPRO codebase, offering high-throughput, low-latency execution interfaces.</w:t>
        <w:br/>
        <w:t>Default parameters are configured for enterprise stability and scalable vector retrieval.</w:t>
      </w:r>
    </w:p>
    <w:p>
      <w:r>
        <w:t>3. Validation and Benchmarking Standards</w:t>
        <w:br/>
        <w:t>All performance assertions must be validated through automated benchmark suites recording latency percentiles (mean, p50, p90, p95, p99), error rates, and resource utilization.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