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Tiny Programming Language Compiler IDE</w:t>
      </w:r>
    </w:p>
    <w:p>
      <w:pPr>
        <w:pStyle w:val="Subtitle"/>
      </w:pPr>
      <w:r>
        <w:t>Review 2 implementation report</w:t>
      </w:r>
    </w:p>
    <w:p>
      <w:pPr>
        <w:pStyle w:val="Subtitle"/>
      </w:pPr>
      <w:r>
        <w:t>Verified on 19 October 2026</w:t>
      </w:r>
    </w:p>
    <w:p>
      <w:pPr>
        <w:pStyle w:val="Heading2"/>
      </w:pPr>
      <w:r>
        <w:t>Project purpose and outcome</w:t>
      </w:r>
    </w:p>
    <w:p>
      <w:r>
        <w:t>The project is a working desktop environment for writing Tiny programs and inspecting their compilation. It reuses the existing Python compiler and virtual machine. A source editor, eight selectable stage views and a persistent terminal let the user follow one program from characters to execution without rerunning it to change views.</w:t>
      </w:r>
    </w:p>
    <w:p>
      <w:r>
        <w:t>The completed application passed 272 automated tests with no skips, including the 198 original compiler and CLI tests. A native Windows window was launched, interactive input was exercised and genuine widget captures were recorded. The application also provides a smart editor, program library, real compiler visualizations and conservative complexity estimates. This report records implementation, verification, limits and Review 2 mapping.</w:t>
      </w:r>
    </w:p>
    <w:p>
      <w:pPr>
        <w:pStyle w:val="Heading2"/>
      </w:pPr>
      <w:r>
        <w:t>Project details</w:t>
      </w:r>
    </w:p>
    <w:tbl>
      <w:tblPr>
        <w:tblW w:type="auto" w:w="0"/>
        <w:tblLayout w:type="fixed"/>
        <w:tblLook w:firstColumn="1" w:firstRow="1" w:lastColumn="0" w:lastRow="0" w:noHBand="0" w:noVBand="1" w:val="04A0"/>
      </w:tblPr>
      <w:tblGrid>
        <w:gridCol w:w="2592"/>
        <w:gridCol w:w="7200"/>
      </w:tblGrid>
      <w:tr>
        <w:trPr>
          <w:cantSplit/>
          <w:tblHeader/>
        </w:trPr>
        <w:tc>
          <w:tcPr>
            <w:tcW w:type="dxa" w:w="259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Field</w:t>
            </w:r>
          </w:p>
        </w:tc>
        <w:tc>
          <w:tcPr>
            <w:tcW w:type="dxa" w:w="720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Details to complete before academic submission</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Student names</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[Student names]</w:t>
            </w:r>
          </w:p>
        </w:tc>
      </w:tr>
      <w:tr>
        <w:trPr>
          <w:cantSplit/>
        </w:trPr>
        <w:tc>
          <w:tcPr>
            <w:tcW w:type="dxa" w:w="259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Register numbers</w:t>
            </w:r>
          </w:p>
        </w:tc>
        <w:tc>
          <w:tcPr>
            <w:tcW w:type="dxa" w:w="72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[Register numbers]</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Programme and branch</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[Programme and branch]</w:t>
            </w:r>
          </w:p>
        </w:tc>
      </w:tr>
      <w:tr>
        <w:trPr>
          <w:cantSplit/>
        </w:trPr>
        <w:tc>
          <w:tcPr>
            <w:tcW w:type="dxa" w:w="259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Project guide</w:t>
            </w:r>
          </w:p>
        </w:tc>
        <w:tc>
          <w:tcPr>
            <w:tcW w:type="dxa" w:w="72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[Guide name and designation]</w:t>
            </w:r>
          </w:p>
        </w:tc>
      </w:tr>
      <w:tr>
        <w:trPr>
          <w:cantSplit/>
        </w:trPr>
        <w:tc>
          <w:tcPr>
            <w:tcW w:type="dxa" w:w="25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Institution</w:t>
            </w:r>
          </w:p>
        </w:tc>
        <w:tc>
          <w:tcPr>
            <w:tcW w:type="dxa" w:w="72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[Institution name]</w:t>
            </w:r>
          </w:p>
        </w:tc>
      </w:tr>
      <w:tr>
        <w:trPr>
          <w:cantSplit/>
        </w:trPr>
        <w:tc>
          <w:tcPr>
            <w:tcW w:type="dxa" w:w="259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Review date</w:t>
            </w:r>
          </w:p>
        </w:tc>
        <w:tc>
          <w:tcPr>
            <w:tcW w:type="dxa" w:w="72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[Review date]</w:t>
            </w:r>
          </w:p>
        </w:tc>
      </w:tr>
    </w:tbl>
    <w:p>
      <w:pPr>
        <w:spacing w:after="0"/>
      </w:pPr>
    </w:p>
    <w:p>
      <w:pPr>
        <w:pStyle w:val="Heading2"/>
      </w:pPr>
      <w:r>
        <w:t>Objectives and scope</w:t>
      </w:r>
    </w:p>
    <w:p>
      <w:r>
        <w:t>Provide an editable source workspace, real results for every compiler stage, responsive execution and input, useful diagnostics, and reproducible evidence. The target is the included stack virtual machine. Native machine-code generation, optimization, multi-file builds and debugger stepping are outside this implementation.</w:t>
      </w:r>
    </w:p>
    <w:p>
      <w:r>
        <w:t>The repository defines its own typed Tiny dialect. It supports integers, booleans, block scopes, conditionals, loops, input and output. Its exact grammar and semantics are documented in docs/GRAMMAR.md and docs/LANGUAGE_SPEC.md.</w:t>
      </w:r>
    </w:p>
    <w:p>
      <w:pPr>
        <w:pStyle w:val="Heading1"/>
        <w:pageBreakBefore/>
      </w:pPr>
      <w:r>
        <w:t>Architecture and compiler reuse</w:t>
      </w:r>
    </w:p>
    <w:p>
      <w:r>
        <w:t>The GUI is a front end to the existing modules. Compiler passes have not been replaced with sample data or a second demonstration compiler. The CLI remains a separate entry point and continues to use the same backend.</w:t>
      </w:r>
    </w:p>
    <w:p>
      <w:pPr>
        <w:spacing w:after="140"/>
      </w:pPr>
      <w:r>
        <w:rPr>
          <w:rFonts w:ascii="Consolas" w:hAnsi="Consolas"/>
          <w:sz w:val="18"/>
        </w:rPr>
        <w:t>Main thread: editor -&gt; captured source -&gt; CompilerWorker QThread</w:t>
        <w:br/>
        <w:t>Worker: lexer -&gt; parser -&gt; semantics and symbols -&gt; IR -&gt; VM code</w:t>
        <w:br/>
        <w:t>Worker: VM(result.code) -&gt; queued input and buffered output</w:t>
        <w:br/>
        <w:t>Main thread: copied snapshots -&gt; stage inspectors and statuses</w:t>
        <w:br/>
        <w:t>Main thread: output signals -&gt; persistent terminal</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Layer</w:t>
            </w:r>
          </w:p>
        </w:tc>
        <w:tc>
          <w:tcPr>
            <w:tcW w:type="dxa" w:w="763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Actual modules and responsibility</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Lexical and syntax</w:t>
            </w:r>
          </w:p>
        </w:tc>
        <w:tc>
          <w:tcPr>
            <w:tcW w:type="dxa" w:w="76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lexer.py produces positioned tokens; parser.py builds ast_nodes.py dataclasses.</w:t>
            </w:r>
          </w:p>
        </w:tc>
      </w:tr>
      <w:tr>
        <w:trPr>
          <w:cantSplit/>
        </w:trPr>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Semantics</w:t>
            </w:r>
          </w:p>
        </w:tc>
        <w:tc>
          <w:tcPr>
            <w:tcW w:type="dxa" w:w="76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semantic.py annotates types and resolves scoped symbols from symbol_table.py.</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Lowering and target</w:t>
            </w:r>
          </w:p>
        </w:tc>
        <w:tc>
          <w:tcPr>
            <w:tcW w:type="dxa" w:w="76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ir.py produces three-address instructions; codegen.py generates stack instructions.</w:t>
            </w:r>
          </w:p>
        </w:tc>
      </w:tr>
      <w:tr>
        <w:trPr>
          <w:cantSplit/>
        </w:trPr>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Execution</w:t>
            </w:r>
          </w:p>
        </w:tc>
        <w:tc>
          <w:tcPr>
            <w:tcW w:type="dxa" w:w="76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vm.py executes generated code; runtime.py supplies arithmetic and typed I/O.</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Pipeline</w:t>
            </w:r>
          </w:p>
        </w:tc>
        <w:tc>
          <w:tcPr>
            <w:tcW w:type="dxa" w:w="76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pipeline.py retains partial results and emits optional progress callbacks.</w:t>
            </w:r>
          </w:p>
        </w:tc>
      </w:tr>
      <w:tr>
        <w:trPr>
          <w:cantSplit/>
        </w:trPr>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Desktop</w:t>
            </w:r>
          </w:p>
        </w:tc>
        <w:tc>
          <w:tcPr>
            <w:tcW w:type="dxa" w:w="76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ide/window.py, editor.py and views.py implement widgets and source actions.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Worker and state</w:t>
            </w:r>
          </w:p>
        </w:tc>
        <w:tc>
          <w:tcPr>
            <w:tcW w:type="dxa" w:w="76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ide/worker.py owns a run; session.py supplies snapshots, queue input and output buffering.</w:t>
            </w:r>
          </w:p>
        </w:tc>
      </w:tr>
    </w:tbl>
    <w:p>
      <w:pPr>
        <w:spacing w:after="0"/>
      </w:pPr>
    </w:p>
    <w:p>
      <w:pPr>
        <w:pStyle w:val="Heading2"/>
      </w:pPr>
      <w:r>
        <w:t>Thread ownership and consistency</w:t>
      </w:r>
    </w:p>
    <w:p>
      <w:r>
        <w:t>Edits trigger a 350 ms debounced real compilation with source, filename and revision ID. Run reuses successful current bytecode or compiles the captured source first, then executes that exact result.code. Deep copies cross Qt signals because semantic analysis annotates AST objects in place. Only the main thread edits widgets. Stage navigation changes a stacked-view index and does not invoke compilation.</w:t>
      </w:r>
    </w:p>
    <w:p>
      <w:pPr>
        <w:pStyle w:val="Heading2"/>
      </w:pPr>
      <w:r>
        <w:t>Result lifecycle</w:t>
      </w:r>
    </w:p>
    <w:p>
      <w:r>
        <w:t>Results stay available after execution and after clearing the terminal. Editing marks preceding results stale until background compilation updates the inspectors. An earlier runtime retains its own source version, bytecode and input. Compilation and execution IDs prevent late results from crossing revisions. Concurrent VMs are blocked; editing and navigation stay available. Pages 15 and 16 document the real-time workflow.</w:t>
      </w:r>
    </w:p>
    <w:p>
      <w:pPr>
        <w:pStyle w:val="Heading2"/>
      </w:pPr>
      <w:r>
        <w:t>Tools and environment</w:t>
      </w:r>
    </w:p>
    <w:p>
      <w:r>
        <w:t>Python 3.10.11, PySide6 6.12.0, standard-library unittest, and Windows were used for application verification. The report is editable DOCX generated with python-docx. Qt is not imported by the compiler API or CLI.</w:t>
      </w:r>
    </w:p>
    <w:p>
      <w:pPr>
        <w:pStyle w:val="Heading1"/>
        <w:pageBreakBefore/>
      </w:pPr>
      <w:r>
        <w:t>Desktop workspace and controls</w:t>
      </w:r>
    </w:p>
    <w:p>
      <w:r>
        <w:t>Source is edited on the left, the selected inspector occupies the center, stage navigation is on the right, and the terminal remains below all panels. Splitters let the user resize the workspace. The screenshot below is an actual native Qt capture.</w:t>
      </w:r>
    </w:p>
    <w:p>
      <w:pPr>
        <w:spacing w:after="60"/>
      </w:pPr>
      <w:r>
        <w:drawing>
          <wp:inline xmlns:a="http://schemas.openxmlformats.org/drawingml/2006/main" xmlns:pic="http://schemas.openxmlformats.org/drawingml/2006/picture">
            <wp:extent cx="6217920" cy="3391593"/>
            <wp:docPr id="1" name="Picture 1"/>
            <wp:cNvGraphicFramePr>
              <a:graphicFrameLocks noChangeAspect="1"/>
            </wp:cNvGraphicFramePr>
            <a:graphic>
              <a:graphicData uri="http://schemas.openxmlformats.org/drawingml/2006/picture">
                <pic:pic>
                  <pic:nvPicPr>
                    <pic:cNvPr id="0" name="02_ast.png"/>
                    <pic:cNvPicPr/>
                  </pic:nvPicPr>
                  <pic:blipFill>
                    <a:blip r:embed="rId9"/>
                    <a:stretch>
                      <a:fillRect/>
                    </a:stretch>
                  </pic:blipFill>
                  <pic:spPr>
                    <a:xfrm>
                      <a:off x="0" y="0"/>
                      <a:ext cx="6217920" cy="3391593"/>
                    </a:xfrm>
                    <a:prstGeom prst="rect"/>
                  </pic:spPr>
                </pic:pic>
              </a:graphicData>
            </a:graphic>
          </wp:inline>
        </w:drawing>
      </w:r>
    </w:p>
    <w:p>
      <w:pPr>
        <w:spacing w:after="160"/>
      </w:pPr>
      <w:r>
        <w:rPr>
          <w:i/>
          <w:sz w:val="18"/>
        </w:rPr>
        <w:t>Figure 1  Expandable AST from loop.tiny with the existing output still visible</w:t>
      </w:r>
    </w:p>
    <w:tbl>
      <w:tblPr>
        <w:tblW w:type="auto" w:w="0"/>
        <w:tblLayout w:type="fixed"/>
        <w:tblLook w:firstColumn="1" w:firstRow="1" w:lastColumn="0" w:lastRow="0" w:noHBand="0" w:noVBand="1" w:val="04A0"/>
      </w:tblPr>
      <w:tblGrid>
        <w:gridCol w:w="1800"/>
        <w:gridCol w:w="2160"/>
        <w:gridCol w:w="5832"/>
      </w:tblGrid>
      <w:tr>
        <w:trPr>
          <w:cantSplit/>
          <w:tblHeader/>
        </w:trPr>
        <w:tc>
          <w:tcPr>
            <w:tcW w:type="dxa" w:w="180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Action</w:t>
            </w:r>
          </w:p>
        </w:tc>
        <w:tc>
          <w:tcPr>
            <w:tcW w:type="dxa" w:w="216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Shortcut</w:t>
            </w:r>
          </w:p>
        </w:tc>
        <w:tc>
          <w:tcPr>
            <w:tcW w:type="dxa" w:w="583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Result</w:t>
            </w:r>
          </w:p>
        </w:tc>
      </w:tr>
      <w:tr>
        <w:trPr>
          <w:cantSplit/>
        </w:trPr>
        <w:tc>
          <w:tcPr>
            <w:tcW w:type="dxa" w:w="18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New Open Save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Ctrl N / O / S</w:t>
            </w:r>
          </w:p>
        </w:tc>
        <w:tc>
          <w:tcPr>
            <w:tcW w:type="dxa" w:w="58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UTF-8 source files and unsaved-change protection</w:t>
            </w:r>
          </w:p>
        </w:tc>
      </w:tr>
      <w:tr>
        <w:trPr>
          <w:cantSplit/>
        </w:trPr>
        <w:tc>
          <w:tcPr>
            <w:tcW w:type="dxa" w:w="18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Save As</w:t>
            </w:r>
          </w:p>
        </w:tc>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Ctrl Shift S</w:t>
            </w:r>
          </w:p>
        </w:tc>
        <w:tc>
          <w:tcPr>
            <w:tcW w:type="dxa" w:w="58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Save a separate source file from the File menu</w:t>
            </w:r>
          </w:p>
        </w:tc>
      </w:tr>
      <w:tr>
        <w:trPr>
          <w:cantSplit/>
        </w:trPr>
        <w:tc>
          <w:tcPr>
            <w:tcW w:type="dxa" w:w="18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Compile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F5</w:t>
            </w:r>
          </w:p>
        </w:tc>
        <w:tc>
          <w:tcPr>
            <w:tcW w:type="dxa" w:w="58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Build stage results without running</w:t>
            </w:r>
          </w:p>
        </w:tc>
      </w:tr>
      <w:tr>
        <w:trPr>
          <w:cantSplit/>
        </w:trPr>
        <w:tc>
          <w:tcPr>
            <w:tcW w:type="dxa" w:w="18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Run</w:t>
            </w:r>
          </w:p>
        </w:tc>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Ctrl Enter</w:t>
            </w:r>
          </w:p>
        </w:tc>
        <w:tc>
          <w:tcPr>
            <w:tcW w:type="dxa" w:w="58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Reuse current compilation or compile first; execute VM code</w:t>
            </w:r>
          </w:p>
        </w:tc>
      </w:tr>
      <w:tr>
        <w:trPr>
          <w:cantSplit/>
        </w:trPr>
        <w:tc>
          <w:tcPr>
            <w:tcW w:type="dxa" w:w="18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Stop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Shift F5</w:t>
            </w:r>
          </w:p>
        </w:tc>
        <w:tc>
          <w:tcPr>
            <w:tcW w:type="dxa" w:w="58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Cancel VM execution, input wait or between compiler passes</w:t>
            </w:r>
          </w:p>
        </w:tc>
      </w:tr>
      <w:tr>
        <w:trPr>
          <w:cantSplit/>
        </w:trPr>
        <w:tc>
          <w:tcPr>
            <w:tcW w:type="dxa" w:w="18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Clear Terminal</w:t>
            </w:r>
          </w:p>
        </w:tc>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Ctrl L</w:t>
            </w:r>
          </w:p>
        </w:tc>
        <w:tc>
          <w:tcPr>
            <w:tcW w:type="dxa" w:w="58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Clear terminal display while retaining stage results</w:t>
            </w:r>
          </w:p>
        </w:tc>
      </w:tr>
      <w:tr>
        <w:trPr>
          <w:cantSplit/>
        </w:trPr>
        <w:tc>
          <w:tcPr>
            <w:tcW w:type="dxa" w:w="18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Program Library</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Toolbar or sidebar</w:t>
            </w:r>
          </w:p>
        </w:tc>
        <w:tc>
          <w:tcPr>
            <w:tcW w:type="dxa" w:w="58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Load, run or inspect categorized examples</w:t>
            </w:r>
          </w:p>
        </w:tc>
      </w:tr>
      <w:tr>
        <w:trPr>
          <w:cantSplit/>
        </w:trPr>
        <w:tc>
          <w:tcPr>
            <w:tcW w:type="dxa" w:w="180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Demo Mode</w:t>
            </w:r>
          </w:p>
        </w:tc>
        <w:tc>
          <w:tcPr>
            <w:tcW w:type="dxa" w:w="216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Toolbar toggle</w:t>
            </w:r>
          </w:p>
        </w:tc>
        <w:tc>
          <w:tcPr>
            <w:tcW w:type="dxa" w:w="583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Open the live pipeline when compiling or running</w:t>
            </w:r>
          </w:p>
        </w:tc>
      </w:tr>
    </w:tbl>
    <w:p>
      <w:pPr>
        <w:spacing w:after="0"/>
      </w:pPr>
    </w:p>
    <w:p>
      <w:r>
        <w:t>The editor paints line numbers, highlights Tiny keywords, numbers, strings and comments, and supports tab indentation. Samples open as unsaved copies. Token, symbol and AST rows can navigate to current source locations by double-click. Stale snapshots disable that location navigation to avoid pointing into a different program.</w:t>
      </w:r>
    </w:p>
    <w:p>
      <w:pPr>
        <w:pStyle w:val="Heading1"/>
        <w:pageBreakBefore/>
      </w:pPr>
      <w:r>
        <w:t>Selectable compiler stages</w:t>
      </w:r>
    </w:p>
    <w:tbl>
      <w:tblPr>
        <w:tblW w:type="auto" w:w="0"/>
        <w:tblLayout w:type="fixed"/>
        <w:tblLook w:firstColumn="1" w:firstRow="1" w:lastColumn="0" w:lastRow="0" w:noHBand="0" w:noVBand="1" w:val="04A0"/>
      </w:tblPr>
      <w:tblGrid>
        <w:gridCol w:w="2376"/>
        <w:gridCol w:w="7416"/>
      </w:tblGrid>
      <w:tr>
        <w:trPr>
          <w:cantSplit/>
          <w:tblHeader/>
        </w:trPr>
        <w:tc>
          <w:tcPr>
            <w:tcW w:type="dxa" w:w="2376"/>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Stage</w:t>
            </w:r>
          </w:p>
        </w:tc>
        <w:tc>
          <w:tcPr>
            <w:tcW w:type="dxa" w:w="7416"/>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Displayed result</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Source Code</w:t>
            </w:r>
          </w:p>
        </w:tc>
        <w:tc>
          <w:tcPr>
            <w:tcW w:type="dxa" w:w="74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Exact source snapshot for the selected run</w:t>
            </w:r>
          </w:p>
        </w:tc>
      </w:tr>
      <w:tr>
        <w:trPr>
          <w:cantSplit/>
        </w:trPr>
        <w:tc>
          <w:tcPr>
            <w:tcW w:type="dxa" w:w="237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Lexical Analysis</w:t>
            </w:r>
          </w:p>
        </w:tc>
        <w:tc>
          <w:tcPr>
            <w:tcW w:type="dxa" w:w="741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Token kind, lexeme, decoded value and line/column, including EOF</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Syntax Analysis</w:t>
            </w:r>
          </w:p>
        </w:tc>
        <w:tc>
          <w:tcPr>
            <w:tcW w:type="dxa" w:w="74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Expandable AST with recovered partial tree when parsing fails</w:t>
            </w:r>
          </w:p>
        </w:tc>
      </w:tr>
      <w:tr>
        <w:trPr>
          <w:cantSplit/>
        </w:trPr>
        <w:tc>
          <w:tcPr>
            <w:tcW w:type="dxa" w:w="237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Semantic Analysis</w:t>
            </w:r>
          </w:p>
        </w:tc>
        <w:tc>
          <w:tcPr>
            <w:tcW w:type="dxa" w:w="741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Analyzer diagnostics, check summary and actual annotated AST</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Symbol Table</w:t>
            </w:r>
          </w:p>
        </w:tc>
        <w:tc>
          <w:tcPr>
            <w:tcW w:type="dxa" w:w="74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Name, type, scope depth, storage identity, declaration and usage</w:t>
            </w:r>
          </w:p>
        </w:tc>
      </w:tr>
      <w:tr>
        <w:trPr>
          <w:cantSplit/>
        </w:trPr>
        <w:tc>
          <w:tcPr>
            <w:tcW w:type="dxa" w:w="237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Intermediate Code</w:t>
            </w:r>
          </w:p>
        </w:tc>
        <w:tc>
          <w:tcPr>
            <w:tcW w:type="dxa" w:w="741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Formatted three-address instructions from the annotated AST</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Target VM Code</w:t>
            </w:r>
          </w:p>
        </w:tc>
        <w:tc>
          <w:tcPr>
            <w:tcW w:type="dxa" w:w="74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Indexed stack-machine instructions generated from that IR</w:t>
            </w:r>
          </w:p>
        </w:tc>
      </w:tr>
      <w:tr>
        <w:trPr>
          <w:cantSplit/>
        </w:trPr>
        <w:tc>
          <w:tcPr>
            <w:tcW w:type="dxa" w:w="237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Execution Diagnostics</w:t>
            </w:r>
          </w:p>
        </w:tc>
        <w:tc>
          <w:tcPr>
            <w:tcW w:type="dxa" w:w="7416"/>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Exact output, diagnostics, executed steps and final VM memory</w:t>
            </w:r>
          </w:p>
        </w:tc>
      </w:tr>
    </w:tbl>
    <w:p>
      <w:pPr>
        <w:spacing w:after="0"/>
      </w:pPr>
    </w:p>
    <w:p>
      <w:pPr>
        <w:spacing w:after="60"/>
      </w:pPr>
      <w:r>
        <w:drawing>
          <wp:inline xmlns:a="http://schemas.openxmlformats.org/drawingml/2006/main" xmlns:pic="http://schemas.openxmlformats.org/drawingml/2006/picture">
            <wp:extent cx="6217920" cy="3391593"/>
            <wp:docPr id="2" name="Picture 2"/>
            <wp:cNvGraphicFramePr>
              <a:graphicFrameLocks noChangeAspect="1"/>
            </wp:cNvGraphicFramePr>
            <a:graphic>
              <a:graphicData uri="http://schemas.openxmlformats.org/drawingml/2006/picture">
                <pic:pic>
                  <pic:nvPicPr>
                    <pic:cNvPr id="0" name="01_tokens.png"/>
                    <pic:cNvPicPr/>
                  </pic:nvPicPr>
                  <pic:blipFill>
                    <a:blip r:embed="rId10"/>
                    <a:stretch>
                      <a:fillRect/>
                    </a:stretch>
                  </pic:blipFill>
                  <pic:spPr>
                    <a:xfrm>
                      <a:off x="0" y="0"/>
                      <a:ext cx="6217920" cy="3391593"/>
                    </a:xfrm>
                    <a:prstGeom prst="rect"/>
                  </pic:spPr>
                </pic:pic>
              </a:graphicData>
            </a:graphic>
          </wp:inline>
        </w:drawing>
      </w:r>
    </w:p>
    <w:p>
      <w:pPr>
        <w:spacing w:after="160"/>
      </w:pPr>
      <w:r>
        <w:rPr>
          <w:i/>
          <w:sz w:val="18"/>
        </w:rPr>
        <w:t>Figure 2  Token table generated by the original lexer for the retained compilation</w:t>
      </w:r>
    </w:p>
    <w:p>
      <w:r>
        <w:t>Selecting a stage never dumps its contents into the terminal. AST types and resolved symbols reflect semantic annotations from the same run. This is an abstract syntax tree, not a concrete parse tree containing every punctuation token. Semantic analysis produces the symbol table; the sidebar exposes it as a separate inspection view.</w:t>
      </w:r>
    </w:p>
    <w:p>
      <w:r>
        <w:t>Five additional sidebar views provide the live Pipeline, CFG, Execution Trace, Program Library and Complexity Analysis. They retain the original compiler-stage ordering and do not rerun code when selected. Pages 10 to 14 describe these extensions.</w:t>
      </w:r>
    </w:p>
    <w:p>
      <w:pPr>
        <w:pStyle w:val="Heading1"/>
        <w:pageBreakBefore/>
      </w:pPr>
      <w:r>
        <w:t>Interactive input and execution</w:t>
      </w:r>
    </w:p>
    <w:p>
      <w:r>
        <w:t>The VM runs in a worker thread. Its real InputReader validation is reused through a queue adapter. Input waits do not block the event loop, and stages remain selectable.</w:t>
      </w:r>
    </w:p>
    <w:p>
      <w:pPr>
        <w:spacing w:after="60"/>
      </w:pPr>
      <w:r>
        <w:drawing>
          <wp:inline xmlns:a="http://schemas.openxmlformats.org/drawingml/2006/main" xmlns:pic="http://schemas.openxmlformats.org/drawingml/2006/picture">
            <wp:extent cx="6217920" cy="3391593"/>
            <wp:docPr id="3" name="Picture 3"/>
            <wp:cNvGraphicFramePr>
              <a:graphicFrameLocks noChangeAspect="1"/>
            </wp:cNvGraphicFramePr>
            <a:graphic>
              <a:graphicData uri="http://schemas.openxmlformats.org/drawingml/2006/picture">
                <pic:pic>
                  <pic:nvPicPr>
                    <pic:cNvPr id="0" name="03_input_wait.png"/>
                    <pic:cNvPicPr/>
                  </pic:nvPicPr>
                  <pic:blipFill>
                    <a:blip r:embed="rId11"/>
                    <a:stretch>
                      <a:fillRect/>
                    </a:stretch>
                  </pic:blipFill>
                  <pic:spPr>
                    <a:xfrm>
                      <a:off x="0" y="0"/>
                      <a:ext cx="6217920" cy="3391593"/>
                    </a:xfrm>
                    <a:prstGeom prst="rect"/>
                  </pic:spPr>
                </pic:pic>
              </a:graphicData>
            </a:graphic>
          </wp:inline>
        </w:drawing>
      </w:r>
    </w:p>
    <w:p>
      <w:pPr>
        <w:spacing w:after="160"/>
      </w:pPr>
      <w:r>
        <w:rPr>
          <w:i/>
          <w:sz w:val="18"/>
        </w:rPr>
        <w:t>Figure 3  GCD waits for terminal input while its generated VM instructions remain inspectable</w:t>
      </w:r>
    </w:p>
    <w:p>
      <w:pPr>
        <w:spacing w:after="60"/>
      </w:pPr>
      <w:r>
        <w:drawing>
          <wp:inline xmlns:a="http://schemas.openxmlformats.org/drawingml/2006/main" xmlns:pic="http://schemas.openxmlformats.org/drawingml/2006/picture">
            <wp:extent cx="6217920" cy="3391593"/>
            <wp:docPr id="4" name="Picture 4"/>
            <wp:cNvGraphicFramePr>
              <a:graphicFrameLocks noChangeAspect="1"/>
            </wp:cNvGraphicFramePr>
            <a:graphic>
              <a:graphicData uri="http://schemas.openxmlformats.org/drawingml/2006/picture">
                <pic:pic>
                  <pic:nvPicPr>
                    <pic:cNvPr id="0" name="04_execution.png"/>
                    <pic:cNvPicPr/>
                  </pic:nvPicPr>
                  <pic:blipFill>
                    <a:blip r:embed="rId12"/>
                    <a:stretch>
                      <a:fillRect/>
                    </a:stretch>
                  </pic:blipFill>
                  <pic:spPr>
                    <a:xfrm>
                      <a:off x="0" y="0"/>
                      <a:ext cx="6217920" cy="3391593"/>
                    </a:xfrm>
                    <a:prstGeom prst="rect"/>
                  </pic:spPr>
                </pic:pic>
              </a:graphicData>
            </a:graphic>
          </wp:inline>
        </w:drawing>
      </w:r>
    </w:p>
    <w:p>
      <w:pPr>
        <w:spacing w:after="160"/>
      </w:pPr>
      <w:r>
        <w:rPr>
          <w:i/>
          <w:sz w:val="18"/>
        </w:rPr>
        <w:t>Figure 4  Supplying 84 36 executes the retained VM code and produces the expected GCD result</w:t>
      </w:r>
    </w:p>
    <w:p>
      <w:r>
        <w:t>Whitespace-separated values can supply multiple reads. Invalid values produce runtime diagnostics. Output is buffered for responsive updates and flushed before prompts, errors and completion. Stop also interrupts an input wait; no global stdin replacement or forced thread termination is used.</w:t>
      </w:r>
    </w:p>
    <w:p>
      <w:pPr>
        <w:pStyle w:val="Heading1"/>
        <w:pageBreakBefore/>
      </w:pPr>
      <w:r>
        <w:t>Errors progress and stale results</w:t>
      </w:r>
    </w:p>
    <w:p>
      <w:pPr>
        <w:spacing w:after="60"/>
      </w:pPr>
      <w:r>
        <w:drawing>
          <wp:inline xmlns:a="http://schemas.openxmlformats.org/drawingml/2006/main" xmlns:pic="http://schemas.openxmlformats.org/drawingml/2006/picture">
            <wp:extent cx="6217920" cy="3391593"/>
            <wp:docPr id="5" name="Picture 5"/>
            <wp:cNvGraphicFramePr>
              <a:graphicFrameLocks noChangeAspect="1"/>
            </wp:cNvGraphicFramePr>
            <a:graphic>
              <a:graphicData uri="http://schemas.openxmlformats.org/drawingml/2006/picture">
                <pic:pic>
                  <pic:nvPicPr>
                    <pic:cNvPr id="0" name="05_semantic_error.png"/>
                    <pic:cNvPicPr/>
                  </pic:nvPicPr>
                  <pic:blipFill>
                    <a:blip r:embed="rId13"/>
                    <a:stretch>
                      <a:fillRect/>
                    </a:stretch>
                  </pic:blipFill>
                  <pic:spPr>
                    <a:xfrm>
                      <a:off x="0" y="0"/>
                      <a:ext cx="6217920" cy="3391593"/>
                    </a:xfrm>
                    <a:prstGeom prst="rect"/>
                  </pic:spPr>
                </pic:pic>
              </a:graphicData>
            </a:graphic>
          </wp:inline>
        </w:drawing>
      </w:r>
    </w:p>
    <w:p>
      <w:pPr>
        <w:spacing w:after="160"/>
      </w:pPr>
      <w:r>
        <w:rPr>
          <w:i/>
          <w:sz w:val="18"/>
        </w:rPr>
        <w:t>Figure 5  Type mismatch marks semantic analysis as error and retains earlier results and partial symbols</w:t>
      </w:r>
    </w:p>
    <w:p>
      <w:pPr>
        <w:spacing w:after="60"/>
      </w:pPr>
      <w:r>
        <w:drawing>
          <wp:inline xmlns:a="http://schemas.openxmlformats.org/drawingml/2006/main" xmlns:pic="http://schemas.openxmlformats.org/drawingml/2006/picture">
            <wp:extent cx="6217920" cy="3391593"/>
            <wp:docPr id="6" name="Picture 6"/>
            <wp:cNvGraphicFramePr>
              <a:graphicFrameLocks noChangeAspect="1"/>
            </wp:cNvGraphicFramePr>
            <a:graphic>
              <a:graphicData uri="http://schemas.openxmlformats.org/drawingml/2006/picture">
                <pic:pic>
                  <pic:nvPicPr>
                    <pic:cNvPr id="0" name="06_stale_results.png"/>
                    <pic:cNvPicPr/>
                  </pic:nvPicPr>
                  <pic:blipFill>
                    <a:blip r:embed="rId14"/>
                    <a:stretch>
                      <a:fillRect/>
                    </a:stretch>
                  </pic:blipFill>
                  <pic:spPr>
                    <a:xfrm>
                      <a:off x="0" y="0"/>
                      <a:ext cx="6217920" cy="3391593"/>
                    </a:xfrm>
                    <a:prstGeom prst="rect"/>
                  </pic:spPr>
                </pic:pic>
              </a:graphicData>
            </a:graphic>
          </wp:inline>
        </w:drawing>
      </w:r>
    </w:p>
    <w:p>
      <w:pPr>
        <w:spacing w:after="160"/>
      </w:pPr>
      <w:r>
        <w:rPr>
          <w:i/>
          <w:sz w:val="18"/>
        </w:rPr>
        <w:t>Figure 6  Editing source visibly marks the retained compilation stale</w:t>
      </w:r>
    </w:p>
    <w:p>
      <w:r>
        <w:t>Statuses distinguish pending, active, completed, waiting, partial, error, blocked, cancelled and not run. Errors stop unsafe downstream passes. Runtime failures preserve compiled code and preceding output. Fast compiler stages may finish before their active state is visually observable. Diagnostics include source positions and caret context where supplied by the backend.</w:t>
      </w:r>
    </w:p>
    <w:p>
      <w:pPr>
        <w:pStyle w:val="Heading1"/>
        <w:pageBreakBefore/>
      </w:pPr>
      <w:r>
        <w:t>Executed tests and acceptance evidence</w:t>
      </w:r>
    </w:p>
    <w:p>
      <w:r>
        <w:t>The original suite passed 198 tests before changes. The final suite passed 272 tests with no skips in 33.074 seconds. Recorded run: 2026-10-19T22:41:04+05:30. The log is tests/latest-results.txt and machine-readable evidence is docs/test-results.json.</w:t>
      </w:r>
    </w:p>
    <w:tbl>
      <w:tblPr>
        <w:tblW w:type="auto" w:w="0"/>
        <w:tblLayout w:type="fixed"/>
        <w:tblLook w:firstColumn="1" w:firstRow="1" w:lastColumn="0" w:lastRow="0" w:noHBand="0" w:noVBand="1" w:val="04A0"/>
      </w:tblPr>
      <w:tblGrid>
        <w:gridCol w:w="2664"/>
        <w:gridCol w:w="864"/>
        <w:gridCol w:w="6264"/>
      </w:tblGrid>
      <w:tr>
        <w:trPr>
          <w:cantSplit/>
          <w:tblHeader/>
        </w:trPr>
        <w:tc>
          <w:tcPr>
            <w:tcW w:type="dxa" w:w="2664"/>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Test module</w:t>
            </w:r>
          </w:p>
        </w:tc>
        <w:tc>
          <w:tcPr>
            <w:tcW w:type="dxa" w:w="864"/>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Passed</w:t>
            </w:r>
          </w:p>
        </w:tc>
        <w:tc>
          <w:tcPr>
            <w:tcW w:type="dxa" w:w="6264"/>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Coverage</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test_codegen_vm.py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39</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Stack code, runtime and differential arithmetic</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test_complexity.py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14</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Supported/ambiguous loop patterns and scalar-space model</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test_editor.py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9</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Grammar-aware completion and smart editor interaction</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test_end_to_end.py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28</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CLI examples, flags and exit codes</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test_ide.py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20</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Stage API, widgets, worker execution and terminal input</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test_ir.py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24</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Three-address code and reference interpreter</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test_lexer.py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22</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Tokens, positions, comments and invalid characters</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test_parser.py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48</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Grammar, precedence and recovery</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test_program_library.py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7</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All library outputs, intentional errors and GUI actions</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test_realtime.py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15</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Debounced stages, cache, revision guards and in-app input</w:t>
            </w:r>
          </w:p>
        </w:tc>
      </w:tr>
      <w:tr>
        <w:trPr>
          <w:cantSplit/>
        </w:trPr>
        <w:tc>
          <w:tcPr>
            <w:tcW w:type="dxa" w:w="26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test_semantics.py</w:t>
            </w:r>
          </w:p>
        </w:tc>
        <w:tc>
          <w:tcPr>
            <w:tcW w:type="dxa" w:w="8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37</w:t>
            </w:r>
          </w:p>
        </w:tc>
        <w:tc>
          <w:tcPr>
            <w:tcW w:type="dxa" w:w="62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Types, scopes, declarations and warnings</w:t>
            </w:r>
          </w:p>
        </w:tc>
      </w:tr>
      <w:tr>
        <w:trPr>
          <w:cantSplit/>
        </w:trPr>
        <w:tc>
          <w:tcPr>
            <w:tcW w:type="dxa" w:w="26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test_visualizations.py</w:t>
            </w:r>
          </w:p>
        </w:tc>
        <w:tc>
          <w:tcPr>
            <w:tcW w:type="dxa" w:w="8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9</w:t>
            </w:r>
          </w:p>
        </w:tc>
        <w:tc>
          <w:tcPr>
            <w:tcW w:type="dxa" w:w="626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Real CFG/VM trace, search, replay and stale estimates</w:t>
            </w:r>
          </w:p>
        </w:tc>
      </w:tr>
    </w:tbl>
    <w:p>
      <w:pPr>
        <w:spacing w:after="0"/>
      </w:pPr>
    </w:p>
    <w:tbl>
      <w:tblPr>
        <w:tblW w:type="auto" w:w="0"/>
        <w:tblLayout w:type="fixed"/>
        <w:tblLook w:firstColumn="1" w:firstRow="1" w:lastColumn="0" w:lastRow="0" w:noHBand="0" w:noVBand="1" w:val="04A0"/>
      </w:tblPr>
      <w:tblGrid>
        <w:gridCol w:w="2448"/>
        <w:gridCol w:w="7344"/>
      </w:tblGrid>
      <w:tr>
        <w:trPr>
          <w:cantSplit/>
          <w:tblHeader/>
        </w:trPr>
        <w:tc>
          <w:tcPr>
            <w:tcW w:type="dxa" w:w="2448"/>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Acceptance requirement</w:t>
            </w:r>
          </w:p>
        </w:tc>
        <w:tc>
          <w:tcPr>
            <w:tcW w:type="dxa" w:w="7344"/>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Executed evidence</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Same compilation</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Inspector values match retained objects; IR/code regeneration and independent VM output agree.</w:t>
            </w:r>
          </w:p>
        </w:tc>
      </w:tr>
      <w:tr>
        <w:trPr>
          <w:cantSplit/>
        </w:trPr>
        <w:tc>
          <w:tcPr>
            <w:tcW w:type="dxa" w:w="2448"/>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Success and errors</w:t>
            </w:r>
          </w:p>
        </w:tc>
        <w:tc>
          <w:tcPr>
            <w:tcW w:type="dxa" w:w="734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All nine valid examples run through GUI worker; lexical, syntax, semantic and runtime failures exercised.</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Input and responsiveness</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Int/bool input, multiple and blank lines, queued waits and output before prompts.</w:t>
            </w:r>
          </w:p>
        </w:tc>
      </w:tr>
      <w:tr>
        <w:trPr>
          <w:cantSplit/>
        </w:trPr>
        <w:tc>
          <w:tcPr>
            <w:tcW w:type="dxa" w:w="2448"/>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Stage navigation</w:t>
            </w:r>
          </w:p>
        </w:tc>
        <w:tc>
          <w:tcPr>
            <w:tcW w:type="dxa" w:w="734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All selectors used during a paused compiler pass, actual VM input wait and after completion.</w:t>
            </w:r>
          </w:p>
        </w:tc>
      </w:tr>
      <w:tr>
        <w:trPr>
          <w:cantSplit/>
        </w:trPr>
        <w:tc>
          <w:tcPr>
            <w:tcW w:type="dxa" w:w="24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Persistent terminal</w:t>
            </w:r>
          </w:p>
        </w:tc>
        <w:tc>
          <w:tcPr>
            <w:tcW w:type="dxa" w:w="73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Navigation preserves transcript; clear removes display but retains execution result.</w:t>
            </w:r>
          </w:p>
        </w:tc>
      </w:tr>
      <w:tr>
        <w:trPr>
          <w:cantSplit/>
        </w:trPr>
        <w:tc>
          <w:tcPr>
            <w:tcW w:type="dxa" w:w="2448"/>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Stale results and lifecycle</w:t>
            </w:r>
          </w:p>
        </w:tc>
        <w:tc>
          <w:tcPr>
            <w:tcW w:type="dxa" w:w="734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Edits during execution, revert detection, stop/restart, close during input, Save/Open and samples.</w:t>
            </w:r>
          </w:p>
        </w:tc>
      </w:tr>
    </w:tbl>
    <w:p>
      <w:pPr>
        <w:spacing w:after="0"/>
      </w:pPr>
    </w:p>
    <w:p>
      <w:pPr>
        <w:pStyle w:val="Heading2"/>
      </w:pPr>
      <w:r>
        <w:t>Native launch verification</w:t>
      </w:r>
    </w:p>
    <w:p>
      <w:r>
        <w:t>Native Qt platform windows assertions covered sidebar navigation, input, errors, the library, graphs, trace, completion and complexity. They also verified automatic stages without execution and cached Run with sequential terminal input. The 16 genuine captures and screenshots/verification.json record that run.</w:t>
      </w:r>
    </w:p>
    <w:p>
      <w:pPr>
        <w:pStyle w:val="Heading2"/>
      </w:pPr>
      <w:r>
        <w:t>What was not verified</w:t>
      </w:r>
    </w:p>
    <w:p>
      <w:r>
        <w:t>Linux and macOS, human usability studies, full accessibility audits and large-program performance benchmarks were not run. File-dialog automation supplies paths rather than driving operating-system dialog chrome. These limits do not replace the executed widget and native-window tests.</w:t>
      </w:r>
    </w:p>
    <w:p>
      <w:pPr>
        <w:pStyle w:val="Heading1"/>
        <w:pageBreakBefore/>
      </w:pPr>
      <w:r>
        <w:t>Review 2 mapping and presentation</w:t>
      </w:r>
    </w:p>
    <w:tbl>
      <w:tblPr>
        <w:tblW w:type="auto" w:w="0"/>
        <w:tblLayout w:type="fixed"/>
        <w:tblLook w:firstColumn="1" w:firstRow="1" w:lastColumn="0" w:lastRow="0" w:noHBand="0" w:noVBand="1" w:val="04A0"/>
      </w:tblPr>
      <w:tblGrid>
        <w:gridCol w:w="2520"/>
        <w:gridCol w:w="7272"/>
      </w:tblGrid>
      <w:tr>
        <w:trPr>
          <w:cantSplit/>
          <w:tblHeader/>
        </w:trPr>
        <w:tc>
          <w:tcPr>
            <w:tcW w:type="dxa" w:w="252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Review 2 item</w:t>
            </w:r>
          </w:p>
        </w:tc>
        <w:tc>
          <w:tcPr>
            <w:tcW w:type="dxa" w:w="727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Evidence in this report and project</w:t>
            </w:r>
          </w:p>
        </w:tc>
      </w:tr>
      <w:tr>
        <w:trPr>
          <w:cantSplit/>
        </w:trPr>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1 Project details</w:t>
            </w:r>
          </w:p>
        </w:tc>
        <w:tc>
          <w:tcPr>
            <w:tcW w:type="dxa" w:w="72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 1 metadata placeholders remain editable for institutional details.</w:t>
            </w:r>
          </w:p>
        </w:tc>
      </w:tr>
      <w:tr>
        <w:trPr>
          <w:cantSplit/>
        </w:trPr>
        <w:tc>
          <w:tcPr>
            <w:tcW w:type="dxa" w:w="25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 Introduction and need</w:t>
            </w:r>
          </w:p>
        </w:tc>
        <w:tc>
          <w:tcPr>
            <w:tcW w:type="dxa" w:w="72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 1 explains interactive exploration of the compiler pipeline.</w:t>
            </w:r>
          </w:p>
        </w:tc>
      </w:tr>
      <w:tr>
        <w:trPr>
          <w:cantSplit/>
        </w:trPr>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2 Objectives and solution</w:t>
            </w:r>
          </w:p>
        </w:tc>
        <w:tc>
          <w:tcPr>
            <w:tcW w:type="dxa" w:w="72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Pages 1 to 3 describe scope, architecture and workspace.</w:t>
            </w:r>
          </w:p>
        </w:tc>
      </w:tr>
      <w:tr>
        <w:trPr>
          <w:cantSplit/>
        </w:trPr>
        <w:tc>
          <w:tcPr>
            <w:tcW w:type="dxa" w:w="25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 Actual implementation</w:t>
            </w:r>
          </w:p>
        </w:tc>
        <w:tc>
          <w:tcPr>
            <w:tcW w:type="dxa" w:w="72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Pages 2 to 6 and tiny_compiler/ide contain the working GUI and backend integration.</w:t>
            </w:r>
          </w:p>
        </w:tc>
      </w:tr>
      <w:tr>
        <w:trPr>
          <w:cantSplit/>
        </w:trPr>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 Tools and architecture</w:t>
            </w:r>
          </w:p>
        </w:tc>
        <w:tc>
          <w:tcPr>
            <w:tcW w:type="dxa" w:w="72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 2 and docs/ARCHITECTURE.md describe actual modules and thread ownership.</w:t>
            </w:r>
          </w:p>
        </w:tc>
      </w:tr>
      <w:tr>
        <w:trPr>
          <w:cantSplit/>
        </w:trPr>
        <w:tc>
          <w:tcPr>
            <w:tcW w:type="dxa" w:w="25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 Screenshots and results</w:t>
            </w:r>
          </w:p>
        </w:tc>
        <w:tc>
          <w:tcPr>
            <w:tcW w:type="dxa" w:w="72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Figures are genuine application/widget captures; page 7 records executed tests.</w:t>
            </w:r>
          </w:p>
        </w:tc>
      </w:tr>
      <w:tr>
        <w:trPr>
          <w:cantSplit/>
        </w:trPr>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3 Remaining work</w:t>
            </w:r>
          </w:p>
        </w:tc>
        <w:tc>
          <w:tcPr>
            <w:tcW w:type="dxa" w:w="72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 9 lists current limitations and focused future work.</w:t>
            </w:r>
          </w:p>
        </w:tc>
      </w:tr>
      <w:tr>
        <w:trPr>
          <w:cantSplit/>
        </w:trPr>
        <w:tc>
          <w:tcPr>
            <w:tcW w:type="dxa" w:w="25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4 Novelty and differentiation</w:t>
            </w:r>
          </w:p>
        </w:tc>
        <w:tc>
          <w:tcPr>
            <w:tcW w:type="dxa" w:w="72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Selectable retained stages, persistent I/O and snapshot consistency support teaching.</w:t>
            </w:r>
          </w:p>
        </w:tc>
      </w:tr>
      <w:tr>
        <w:trPr>
          <w:cantSplit/>
        </w:trPr>
        <w:tc>
          <w:tcPr>
            <w:tcW w:type="dxa" w:w="25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6 Presentation and questions</w:t>
            </w:r>
          </w:p>
        </w:tc>
        <w:tc>
          <w:tcPr>
            <w:tcW w:type="dxa" w:w="72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Outline and viva prompts below. The prior Review 2 numbering skips item 5.</w:t>
            </w:r>
          </w:p>
        </w:tc>
      </w:tr>
      <w:tr>
        <w:trPr>
          <w:cantSplit/>
        </w:trPr>
        <w:tc>
          <w:tcPr>
            <w:tcW w:type="dxa" w:w="25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Advanced extensions</w:t>
            </w:r>
          </w:p>
        </w:tc>
        <w:tc>
          <w:tcPr>
            <w:tcW w:type="dxa" w:w="72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Pages 10 to 14 cover visualizations, smart editor, library, Demo Mode and complexity.</w:t>
            </w:r>
          </w:p>
        </w:tc>
      </w:tr>
    </w:tbl>
    <w:p>
      <w:pPr>
        <w:spacing w:after="0"/>
      </w:pPr>
    </w:p>
    <w:p>
      <w:pPr>
        <w:pStyle w:val="Heading2"/>
      </w:pPr>
      <w:r>
        <w:t>Contribution and differentiation</w:t>
      </w:r>
    </w:p>
    <w:p>
      <w:r>
        <w:t>The contribution is the interactive inspection workflow over the existing compiler: retained stage results, independent terminal I/O, progress/error states and source staleness. It does not claim a new compiler algorithm. Compared with the previous CLI-only project, students can move among representations without rerunning the program or mixing every compiler listing with program output.</w:t>
      </w:r>
    </w:p>
    <w:p>
      <w:pPr>
        <w:pStyle w:val="Heading2"/>
      </w:pPr>
      <w:r>
        <w:t>Five minute demonstration</w:t>
      </w:r>
    </w:p>
    <w:p>
      <w:r>
        <w:t>Introduce the learning problem and architecture. Run loop.tiny and compare tokens, AST, symbols, IR and stack instructions. Run gcd.tiny with 84 36 while navigating stages. Show semantic failure and stale results. Close with executed evidence and limitations.</w:t>
      </w:r>
    </w:p>
    <w:p>
      <w:pPr>
        <w:pStyle w:val="Heading2"/>
      </w:pPr>
      <w:r>
        <w:t>Viva prompts</w:t>
      </w:r>
    </w:p>
    <w:p>
      <w:r>
        <w:t>Why an AST? It retains grammatical meaning without punctuation. Why IR? It separates language analysis from target generation. Why unique storage names? They distinguish shadowed variables. Why copy snapshots? Semantic analysis mutates AST annotations. Why a queue? The VM can await input without blocking the GUI event loop. How is one run verified? Inspectors use one retained CompilationResult and the VM executes its code.</w:t>
      </w:r>
    </w:p>
    <w:p>
      <w:pPr>
        <w:pStyle w:val="Heading1"/>
        <w:pageBreakBefore/>
      </w:pPr>
      <w:r>
        <w:t>Setup limits and maintenance</w:t>
      </w:r>
    </w:p>
    <w:p>
      <w:pPr>
        <w:pStyle w:val="Heading2"/>
      </w:pPr>
      <w:r>
        <w:t>Windows installation and launch</w:t>
      </w:r>
    </w:p>
    <w:p>
      <w:r>
        <w:t>Use 64-bit Python 3.10 or newer. Open PowerShell in the project folder. Activation is optional because the commands call the environment interpreter directly.</w:t>
      </w:r>
    </w:p>
    <w:p>
      <w:pPr>
        <w:spacing w:after="140"/>
      </w:pPr>
      <w:r>
        <w:rPr>
          <w:rFonts w:ascii="Consolas" w:hAnsi="Consolas"/>
          <w:sz w:val="18"/>
        </w:rPr>
        <w:t>python -m venv .venv</w:t>
        <w:br/>
        <w:t>.\.venv\Scripts\python.exe -m pip install -r requirements.txt</w:t>
        <w:br/>
        <w:t>.\.venv\Scripts\python.exe gui.py</w:t>
        <w:br/>
        <w:t>.\.venv\Scripts\python.exe -m tiny_compiler.ide examples\gcd.tiny</w:t>
        <w:br/>
        <w:t>.\.venv\Scripts\python.exe tools\verify_project.py</w:t>
        <w:br/>
        <w:t>.\.venv\Scripts\python.exe tools\verify_gui.py</w:t>
      </w:r>
    </w:p>
    <w:p>
      <w:pPr>
        <w:pStyle w:val="Heading2"/>
      </w:pPr>
      <w:r>
        <w:t>Source distribution</w:t>
      </w:r>
    </w:p>
    <w:p>
      <w:pPr>
        <w:spacing w:after="140"/>
      </w:pPr>
      <w:r>
        <w:rPr>
          <w:rFonts w:ascii="Consolas" w:hAnsi="Consolas"/>
          <w:sz w:val="18"/>
        </w:rPr>
        <w:t>gui.py                         Desktop launcher</w:t>
        <w:br/>
        <w:t>main.py                        Existing CLI launcher</w:t>
        <w:br/>
        <w:t>tiny_compiler/                 Existing compiler and VM</w:t>
        <w:br/>
        <w:t>tiny_compiler/ide/             Window, editor, views, worker, session</w:t>
        <w:br/>
        <w:t>examples/                      Original and library source fixtures</w:t>
        <w:br/>
        <w:t>tests/                         Compiler, CLI and Qt tests</w:t>
        <w:br/>
        <w:t>docs/                          Architecture, language and test evidence</w:t>
        <w:br/>
        <w:t>screenshots/                   Native Qt captures and verification JSON</w:t>
        <w:br/>
        <w:t>report/                        Editable Word report</w:t>
        <w:br/>
        <w:t>tools/                         Verification, report and ZIP builders</w:t>
        <w:br/>
        <w:t>dist/Tiny-Compiler-IDE.zip      Source package without dependencies</w:t>
      </w:r>
    </w:p>
    <w:p>
      <w:pPr>
        <w:pStyle w:val="Heading2"/>
      </w:pPr>
      <w:r>
        <w:t>Known limitations and future work</w:t>
      </w:r>
    </w:p>
    <w:p>
      <w:r>
        <w:t>The stack VM is the only generated target. There are no functions, arrays, floats, optimizer or live debugger stepping. Trace controls replay recorded history. The newest compilation and most recent execution are retained separately, and terminal/session state is not restored after closing. Compiler cancellation is between passes. Large sources or unbounded output may consume memory. Smaller windows can require scrolling or panel resizing. Other desktop platforms remain untested.</w:t>
      </w:r>
    </w:p>
    <w:p>
      <w:r>
        <w:t>Focused future work could add session export, bounded terminal history, scalable table models and instruction stepping. The source ZIP requires Python and dependency installation on the destination machine; it is not a standalone executable.</w:t>
      </w:r>
    </w:p>
    <w:p>
      <w:pPr>
        <w:pStyle w:val="Heading2"/>
      </w:pPr>
      <w:r>
        <w:t>Maintenance and references</w:t>
      </w:r>
    </w:p>
    <w:p>
      <w:r>
        <w:t>README.md contains launch commands and user workflow. docs/LANGUAGE_SPEC.md and docs/GRAMMAR.md define the implemented dialect. docs/ARCHITECTURE.md explains ownership and callbacks. docs/TESTING.md, test-results.json and latest-results.txt provide executed evidence. These project files, rather than external performance claims, are the technical references for this implementation report.</w:t>
      </w:r>
    </w:p>
    <w:p>
      <w:r>
        <w:t>To rebuild this editable report, install requirements-dev.txt and run tools/build_report.py after refreshing verification evidence. Academic names, register numbers, institution and guide details on page 1 must be completed before submission.</w:t>
      </w:r>
    </w:p>
    <w:p>
      <w:pPr>
        <w:pStyle w:val="Heading1"/>
        <w:pageBreakBefore/>
      </w:pPr>
      <w:r>
        <w:t>Compiler pipeline and control flow</w:t>
      </w:r>
    </w:p>
    <w:p>
      <w:r>
        <w:t>The pipeline diagram colors actual stage statuses for the captured source. Clicking a node opens its inspector. CFG blocks and labelled edges come from the same generated IR, including conditional branches, short-circuit logic and loop back edges.</w:t>
      </w:r>
    </w:p>
    <w:p>
      <w:pPr>
        <w:spacing w:after="60"/>
      </w:pPr>
      <w:r>
        <w:drawing>
          <wp:inline xmlns:a="http://schemas.openxmlformats.org/drawingml/2006/main" xmlns:pic="http://schemas.openxmlformats.org/drawingml/2006/picture">
            <wp:extent cx="6217920" cy="3391593"/>
            <wp:docPr id="7" name="Picture 7"/>
            <wp:cNvGraphicFramePr>
              <a:graphicFrameLocks noChangeAspect="1"/>
            </wp:cNvGraphicFramePr>
            <a:graphic>
              <a:graphicData uri="http://schemas.openxmlformats.org/drawingml/2006/picture">
                <pic:pic>
                  <pic:nvPicPr>
                    <pic:cNvPr id="0" name="08_live_pipeline.png"/>
                    <pic:cNvPicPr/>
                  </pic:nvPicPr>
                  <pic:blipFill>
                    <a:blip r:embed="rId15"/>
                    <a:stretch>
                      <a:fillRect/>
                    </a:stretch>
                  </pic:blipFill>
                  <pic:spPr>
                    <a:xfrm>
                      <a:off x="0" y="0"/>
                      <a:ext cx="6217920" cy="3391593"/>
                    </a:xfrm>
                    <a:prstGeom prst="rect"/>
                  </pic:spPr>
                </pic:pic>
              </a:graphicData>
            </a:graphic>
          </wp:inline>
        </w:drawing>
      </w:r>
    </w:p>
    <w:p>
      <w:pPr>
        <w:spacing w:after="160"/>
      </w:pPr>
      <w:r>
        <w:rPr>
          <w:i/>
          <w:sz w:val="18"/>
        </w:rPr>
        <w:t>Figure 7  Live pipeline while the real nested-loop VM waits for input</w:t>
      </w:r>
    </w:p>
    <w:p>
      <w:pPr>
        <w:spacing w:after="60"/>
      </w:pPr>
      <w:r>
        <w:drawing>
          <wp:inline xmlns:a="http://schemas.openxmlformats.org/drawingml/2006/main" xmlns:pic="http://schemas.openxmlformats.org/drawingml/2006/picture">
            <wp:extent cx="6217920" cy="3391593"/>
            <wp:docPr id="8" name="Picture 8"/>
            <wp:cNvGraphicFramePr>
              <a:graphicFrameLocks noChangeAspect="1"/>
            </wp:cNvGraphicFramePr>
            <a:graphic>
              <a:graphicData uri="http://schemas.openxmlformats.org/drawingml/2006/picture">
                <pic:pic>
                  <pic:nvPicPr>
                    <pic:cNvPr id="0" name="09_control_flow.png"/>
                    <pic:cNvPicPr/>
                  </pic:nvPicPr>
                  <pic:blipFill>
                    <a:blip r:embed="rId16"/>
                    <a:stretch>
                      <a:fillRect/>
                    </a:stretch>
                  </pic:blipFill>
                  <pic:spPr>
                    <a:xfrm>
                      <a:off x="0" y="0"/>
                      <a:ext cx="6217920" cy="3391593"/>
                    </a:xfrm>
                    <a:prstGeom prst="rect"/>
                  </pic:spPr>
                </pic:pic>
              </a:graphicData>
            </a:graphic>
          </wp:inline>
        </w:drawing>
      </w:r>
    </w:p>
    <w:p>
      <w:pPr>
        <w:spacing w:after="160"/>
      </w:pPr>
      <w:r>
        <w:rPr>
          <w:i/>
          <w:sz w:val="18"/>
        </w:rPr>
        <w:t>Figure 8  Control-flow graph derived from the retained nested-loop intermediate code</w:t>
      </w:r>
    </w:p>
    <w:p>
      <w:r>
        <w:t>The graph is structural, not a measured execution path. Both branch edges may be present even if a particular input takes one path. Nodes support selection, full instruction details, panning and zoom. No external graph-rendering dependency or hard-coded example graph is used. The AST remains expandable and symbols can be searched across columns.</w:t>
      </w:r>
    </w:p>
    <w:p>
      <w:pPr>
        <w:pStyle w:val="Heading1"/>
        <w:pageBreakBefore/>
      </w:pPr>
      <w:r>
        <w:t>Execution trace and demonstration mode</w:t>
      </w:r>
    </w:p>
    <w:p>
      <w:pPr>
        <w:spacing w:after="60"/>
      </w:pPr>
      <w:r>
        <w:drawing>
          <wp:inline xmlns:a="http://schemas.openxmlformats.org/drawingml/2006/main" xmlns:pic="http://schemas.openxmlformats.org/drawingml/2006/picture">
            <wp:extent cx="6217920" cy="3391593"/>
            <wp:docPr id="9" name="Picture 9"/>
            <wp:cNvGraphicFramePr>
              <a:graphicFrameLocks noChangeAspect="1"/>
            </wp:cNvGraphicFramePr>
            <a:graphic>
              <a:graphicData uri="http://schemas.openxmlformats.org/drawingml/2006/picture">
                <pic:pic>
                  <pic:nvPicPr>
                    <pic:cNvPr id="0" name="10_execution_trace.png"/>
                    <pic:cNvPicPr/>
                  </pic:nvPicPr>
                  <pic:blipFill>
                    <a:blip r:embed="rId17"/>
                    <a:stretch>
                      <a:fillRect/>
                    </a:stretch>
                  </pic:blipFill>
                  <pic:spPr>
                    <a:xfrm>
                      <a:off x="0" y="0"/>
                      <a:ext cx="6217920" cy="3391593"/>
                    </a:xfrm>
                    <a:prstGeom prst="rect"/>
                  </pic:spPr>
                </pic:pic>
              </a:graphicData>
            </a:graphic>
          </wp:inline>
        </w:drawing>
      </w:r>
    </w:p>
    <w:p>
      <w:pPr>
        <w:spacing w:after="160"/>
      </w:pPr>
      <w:r>
        <w:rPr>
          <w:i/>
          <w:sz w:val="18"/>
        </w:rPr>
        <w:t>Figure 9  Real VM history with instruction pointers, post-state and source-line selection</w:t>
      </w:r>
    </w:p>
    <w:p>
      <w:r>
        <w:t>An optional VM observer records completed or failed instructions, IP and next IP, source line, variable/temporary values, stack and output delta. These records are generated by the VM executing the retained bytecode. The existing CLI text trace remains compatible.</w:t>
      </w:r>
    </w:p>
    <w:tbl>
      <w:tblPr>
        <w:tblW w:type="auto" w:w="0"/>
        <w:tblLayout w:type="fixed"/>
        <w:tblLook w:firstColumn="1" w:firstRow="1" w:lastColumn="0" w:lastRow="0" w:noHBand="0" w:noVBand="1" w:val="04A0"/>
      </w:tblPr>
      <w:tblGrid>
        <w:gridCol w:w="2880"/>
        <w:gridCol w:w="6912"/>
      </w:tblGrid>
      <w:tr>
        <w:trPr>
          <w:cantSplit/>
          <w:tblHeader/>
        </w:trPr>
        <w:tc>
          <w:tcPr>
            <w:tcW w:type="dxa" w:w="288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Presentation control</w:t>
            </w:r>
          </w:p>
        </w:tc>
        <w:tc>
          <w:tcPr>
            <w:tcW w:type="dxa" w:w="691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Actual behavior</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Replay Step</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Select the next captured instruction and its state</w:t>
            </w:r>
          </w:p>
        </w:tc>
      </w:tr>
      <w:tr>
        <w:trPr>
          <w:cantSplit/>
        </w:trPr>
        <w:tc>
          <w:tcPr>
            <w:tcW w:type="dxa" w:w="288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Replay Continue and Pause</w:t>
            </w:r>
          </w:p>
        </w:tc>
        <w:tc>
          <w:tcPr>
            <w:tcW w:type="dxa" w:w="691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Advance through captured rows using a GUI timer, or pause replay</w:t>
            </w:r>
          </w:p>
        </w:tc>
      </w:tr>
      <w:tr>
        <w:trPr>
          <w:cantSplit/>
        </w:trPr>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Reset Replay</w:t>
            </w:r>
          </w:p>
        </w:tc>
        <w:tc>
          <w:tcPr>
            <w:tcW w:type="dxa" w:w="69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Return to the first captured instruction without executing the program again</w:t>
            </w:r>
          </w:p>
        </w:tc>
      </w:tr>
      <w:tr>
        <w:trPr>
          <w:cantSplit/>
        </w:trPr>
        <w:tc>
          <w:tcPr>
            <w:tcW w:type="dxa" w:w="288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Demo Mode</w:t>
            </w:r>
          </w:p>
        </w:tc>
        <w:tc>
          <w:tcPr>
            <w:tcW w:type="dxa" w:w="691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Select the live pipeline on Compile/Run; all completed views stay available</w:t>
            </w:r>
          </w:p>
        </w:tc>
      </w:tr>
    </w:tbl>
    <w:p>
      <w:pPr>
        <w:spacing w:after="0"/>
      </w:pPr>
    </w:p>
    <w:p>
      <w:r>
        <w:t>These controls replay history; they are not live debugger stepping or breakpoints. Replay highlights the corresponding source line only while the source is current, and pauses when its view is hidden. The terminal remains unchanged during replay.</w:t>
      </w:r>
    </w:p>
    <w:p>
      <w:pPr>
        <w:pStyle w:val="Heading2"/>
      </w:pPr>
      <w:r>
        <w:t>Capture limits</w:t>
      </w:r>
    </w:p>
    <w:p>
      <w:r>
        <w:t>The GUI retains the first 2,000 instructions. Each row captures at most 256 memory values, 256 stack values and 4,096 output characters. Truncation is labelled and the program continues normally. The trace is intentionally bounded for educational use; retained output in the terminal and final execution result are separate.</w:t>
      </w:r>
    </w:p>
    <w:p>
      <w:pPr>
        <w:pStyle w:val="Heading1"/>
        <w:pageBreakBefore/>
      </w:pPr>
      <w:r>
        <w:t>Smart source editor</w:t>
      </w:r>
    </w:p>
    <w:p>
      <w:pPr>
        <w:spacing w:after="60"/>
      </w:pPr>
      <w:r>
        <w:drawing>
          <wp:inline xmlns:a="http://schemas.openxmlformats.org/drawingml/2006/main" xmlns:pic="http://schemas.openxmlformats.org/drawingml/2006/picture">
            <wp:extent cx="6217920" cy="3391593"/>
            <wp:docPr id="10" name="Picture 10"/>
            <wp:cNvGraphicFramePr>
              <a:graphicFrameLocks noChangeAspect="1"/>
            </wp:cNvGraphicFramePr>
            <a:graphic>
              <a:graphicData uri="http://schemas.openxmlformats.org/drawingml/2006/picture">
                <pic:pic>
                  <pic:nvPicPr>
                    <pic:cNvPr id="0" name="12_smart_editor.png"/>
                    <pic:cNvPicPr/>
                  </pic:nvPicPr>
                  <pic:blipFill>
                    <a:blip r:embed="rId18"/>
                    <a:stretch>
                      <a:fillRect/>
                    </a:stretch>
                  </pic:blipFill>
                  <pic:spPr>
                    <a:xfrm>
                      <a:off x="0" y="0"/>
                      <a:ext cx="6217920" cy="3391593"/>
                    </a:xfrm>
                    <a:prstGeom prst="rect"/>
                  </pic:spPr>
                </pic:pic>
              </a:graphicData>
            </a:graphic>
          </wp:inline>
        </w:drawing>
      </w:r>
    </w:p>
    <w:p>
      <w:pPr>
        <w:spacing w:after="160"/>
      </w:pPr>
      <w:r>
        <w:rPr>
          <w:i/>
          <w:sz w:val="18"/>
        </w:rPr>
        <w:t>Figure 10  Editing changes the source while retained results are visibly marked stale</w:t>
      </w:r>
    </w:p>
    <w:p>
      <w:pPr>
        <w:spacing w:after="60"/>
      </w:pPr>
      <w:r>
        <w:drawing>
          <wp:inline xmlns:a="http://schemas.openxmlformats.org/drawingml/2006/main" xmlns:pic="http://schemas.openxmlformats.org/drawingml/2006/picture">
            <wp:extent cx="2743200" cy="565785"/>
            <wp:docPr id="11" name="Picture 11"/>
            <wp:cNvGraphicFramePr>
              <a:graphicFrameLocks noChangeAspect="1"/>
            </wp:cNvGraphicFramePr>
            <a:graphic>
              <a:graphicData uri="http://schemas.openxmlformats.org/drawingml/2006/picture">
                <pic:pic>
                  <pic:nvPicPr>
                    <pic:cNvPr id="0" name="13_completion_popup.png"/>
                    <pic:cNvPicPr/>
                  </pic:nvPicPr>
                  <pic:blipFill>
                    <a:blip r:embed="rId19"/>
                    <a:stretch>
                      <a:fillRect/>
                    </a:stretch>
                  </pic:blipFill>
                  <pic:spPr>
                    <a:xfrm>
                      <a:off x="0" y="0"/>
                      <a:ext cx="2743200" cy="565785"/>
                    </a:xfrm>
                    <a:prstGeom prst="rect"/>
                  </pic:spPr>
                </pic:pic>
              </a:graphicData>
            </a:graphic>
          </wp:inline>
        </w:drawing>
      </w:r>
    </w:p>
    <w:p>
      <w:pPr>
        <w:spacing w:after="160"/>
      </w:pPr>
      <w:r>
        <w:rPr>
          <w:i/>
          <w:sz w:val="18"/>
        </w:rPr>
        <w:t>Figure 11  Genuine separate capture of the completion popup for the prefix wh</w:t>
      </w:r>
    </w:p>
    <w:p>
      <w:r>
        <w:t>Completion follows supported Tiny grammar and actual analyzer symbols, filtered by lexical scope, declaration position and current declaration identity. It offers keywords, operators, read/write statements and editable templates. Tiny has no callable built-in functions; unsupported constructs such as for, arrays or print are not suggested.</w:t>
      </w:r>
    </w:p>
    <w:p>
      <w:r>
        <w:t>Suggestions appear while typing or with Ctrl Space. Up/Down navigates, Enter/Tab accepts and Esc dismisses. Acceptance replaces only the typed prefix and never executes source. Parentheses, braces and double quotes are paired, blocks indent automatically, matching brackets are highlighted and standard undo/redo/clipboard shortcuts remain available.</w:t>
      </w:r>
    </w:p>
    <w:p>
      <w:r>
        <w:t>A 350 ms debounced full compilation updates actual stage views, underlines diagnostics and supplies hover information. It does not execute source or write errors into the terminal while typing. Partial syntax uses separately copied recovered declarations for conservative completion. Revision guards reject late results. The service is not a complete language server.</w:t>
      </w:r>
    </w:p>
    <w:p>
      <w:pPr>
        <w:pStyle w:val="Heading1"/>
        <w:pageBreakBefore/>
      </w:pPr>
      <w:r>
        <w:t>Program library and educational examples</w:t>
      </w:r>
    </w:p>
    <w:p>
      <w:pPr>
        <w:spacing w:after="60"/>
      </w:pPr>
      <w:r>
        <w:drawing>
          <wp:inline xmlns:a="http://schemas.openxmlformats.org/drawingml/2006/main" xmlns:pic="http://schemas.openxmlformats.org/drawingml/2006/picture">
            <wp:extent cx="6217920" cy="3391593"/>
            <wp:docPr id="12" name="Picture 12"/>
            <wp:cNvGraphicFramePr>
              <a:graphicFrameLocks noChangeAspect="1"/>
            </wp:cNvGraphicFramePr>
            <a:graphic>
              <a:graphicData uri="http://schemas.openxmlformats.org/drawingml/2006/picture">
                <pic:pic>
                  <pic:nvPicPr>
                    <pic:cNvPr id="0" name="07_program_library.png"/>
                    <pic:cNvPicPr/>
                  </pic:nvPicPr>
                  <pic:blipFill>
                    <a:blip r:embed="rId20"/>
                    <a:stretch>
                      <a:fillRect/>
                    </a:stretch>
                  </pic:blipFill>
                  <pic:spPr>
                    <a:xfrm>
                      <a:off x="0" y="0"/>
                      <a:ext cx="6217920" cy="3391593"/>
                    </a:xfrm>
                    <a:prstGeom prst="rect"/>
                  </pic:spPr>
                </pic:pic>
              </a:graphicData>
            </a:graphic>
          </wp:inline>
        </w:drawing>
      </w:r>
    </w:p>
    <w:p>
      <w:pPr>
        <w:spacing w:after="160"/>
      </w:pPr>
      <w:r>
        <w:rPr>
          <w:i/>
          <w:sz w:val="18"/>
        </w:rPr>
        <w:t>Figure 12  Dedicated categorized library with metadata, source preview and explicit actions</w:t>
      </w:r>
    </w:p>
    <w:p>
      <w:r>
        <w:t>The library contains 27 programs: 23 valid examples and 4 explicitly labelled error demonstrations. Every entry supplies difficulty, description, compiler concepts, source, sample input, expected output and intended diagnostic where appropriate.</w:t>
      </w:r>
    </w:p>
    <w:tbl>
      <w:tblPr>
        <w:tblW w:type="auto" w:w="0"/>
        <w:tblLayout w:type="fixed"/>
        <w:tblLook w:firstColumn="1" w:firstRow="1" w:lastColumn="0" w:lastRow="0" w:noHBand="0" w:noVBand="1" w:val="04A0"/>
      </w:tblPr>
      <w:tblGrid>
        <w:gridCol w:w="1584"/>
        <w:gridCol w:w="1080"/>
        <w:gridCol w:w="7128"/>
      </w:tblGrid>
      <w:tr>
        <w:trPr>
          <w:cantSplit/>
          <w:tblHeader/>
        </w:trPr>
        <w:tc>
          <w:tcPr>
            <w:tcW w:type="dxa" w:w="1584"/>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Level</w:t>
            </w:r>
          </w:p>
        </w:tc>
        <w:tc>
          <w:tcPr>
            <w:tcW w:type="dxa" w:w="108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Programs</w:t>
            </w:r>
          </w:p>
        </w:tc>
        <w:tc>
          <w:tcPr>
            <w:tcW w:type="dxa" w:w="7128"/>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Coverage</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Beginner</w:t>
            </w:r>
          </w:p>
        </w:tc>
        <w:tc>
          <w:tcPr>
            <w:tcW w:type="dxa" w:w="10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9</w:t>
            </w:r>
          </w:p>
        </w:tc>
        <w:tc>
          <w:tcPr>
            <w:tcW w:type="dxa" w:w="71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Greetings, variables, arithmetic, precedence, input, comparisons, conditions, sign and parity</w:t>
            </w:r>
          </w:p>
        </w:tc>
      </w:tr>
      <w:tr>
        <w:trPr>
          <w:cantSplit/>
        </w:trPr>
        <w:tc>
          <w:tcPr>
            <w:tcW w:type="dxa" w:w="1584"/>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Intermediate</w:t>
            </w:r>
          </w:p>
        </w:tc>
        <w:tc>
          <w:tcPr>
            <w:tcW w:type="dxa" w:w="108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8</w:t>
            </w:r>
          </w:p>
        </w:tc>
        <w:tc>
          <w:tcPr>
            <w:tcW w:type="dxa" w:w="7128"/>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Counters, sum, factorial, multiplication table, Fibonacci, primes, GCD and reversal</w:t>
            </w:r>
          </w:p>
        </w:tc>
      </w:tr>
      <w:tr>
        <w:trPr>
          <w:cantSplit/>
        </w:trPr>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Advanced</w:t>
            </w:r>
          </w:p>
        </w:tc>
        <w:tc>
          <w:tcPr>
            <w:tcW w:type="dxa" w:w="10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10</w:t>
            </w:r>
          </w:p>
        </w:tc>
        <w:tc>
          <w:tcPr>
            <w:tcW w:type="dxa" w:w="71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Nested loops/conditions, pattern output, compound calculations, combined input/control and errors</w:t>
            </w:r>
          </w:p>
        </w:tc>
      </w:tr>
    </w:tbl>
    <w:p>
      <w:pPr>
        <w:spacing w:after="0"/>
      </w:pPr>
    </w:p>
    <w:p>
      <w:r>
        <w:t>Load creates an unsaved editable copy. Run Example uses sample input through the actual terminal queue. Inspect Compilation builds without executing. Search covers names and concepts. Loading, editing and saving a personal copy preserve the original fixtures. All valid library outputs are verified through VM, TAC and GUI execution, and lexical, syntax, semantic and runtime demonstrations are checked for their intended failure.</w:t>
      </w:r>
    </w:p>
    <w:p>
      <w:r>
        <w:t>A presentation can run Sum of first N numbers with input 5, inspect its O(n) estimate, then compare Nested loops and Number reversal. GCD demonstrates a correct executable program whose complexity is intentionally unresolved by this conservative analyzer.</w:t>
      </w:r>
    </w:p>
    <w:p>
      <w:pPr>
        <w:pStyle w:val="Heading1"/>
        <w:pageBreakBefore/>
      </w:pPr>
      <w:r>
        <w:t>Educational complexity analysis</w:t>
      </w:r>
    </w:p>
    <w:p>
      <w:pPr>
        <w:spacing w:after="60"/>
      </w:pPr>
      <w:r>
        <w:drawing>
          <wp:inline xmlns:a="http://schemas.openxmlformats.org/drawingml/2006/main" xmlns:pic="http://schemas.openxmlformats.org/drawingml/2006/picture">
            <wp:extent cx="6217920" cy="3391593"/>
            <wp:docPr id="13" name="Picture 13"/>
            <wp:cNvGraphicFramePr>
              <a:graphicFrameLocks noChangeAspect="1"/>
            </wp:cNvGraphicFramePr>
            <a:graphic>
              <a:graphicData uri="http://schemas.openxmlformats.org/drawingml/2006/picture">
                <pic:pic>
                  <pic:nvPicPr>
                    <pic:cNvPr id="0" name="11_complexity.png"/>
                    <pic:cNvPicPr/>
                  </pic:nvPicPr>
                  <pic:blipFill>
                    <a:blip r:embed="rId21"/>
                    <a:stretch>
                      <a:fillRect/>
                    </a:stretch>
                  </pic:blipFill>
                  <pic:spPr>
                    <a:xfrm>
                      <a:off x="0" y="0"/>
                      <a:ext cx="6217920" cy="3391593"/>
                    </a:xfrm>
                    <a:prstGeom prst="rect"/>
                  </pic:spPr>
                </pic:pic>
              </a:graphicData>
            </a:graphic>
          </wp:inline>
        </w:drawing>
      </w:r>
    </w:p>
    <w:p>
      <w:pPr>
        <w:spacing w:after="160"/>
      </w:pPr>
      <w:r>
        <w:rPr>
          <w:i/>
          <w:sz w:val="18"/>
        </w:rPr>
        <w:t>Figure 13  Actual nested-loop analysis reports O(n squared) under an explicit scalar model</w:t>
      </w:r>
    </w:p>
    <w:tbl>
      <w:tblPr>
        <w:tblW w:type="auto" w:w="0"/>
        <w:tblLayout w:type="fixed"/>
        <w:tblLook w:firstColumn="1" w:firstRow="1" w:lastColumn="0" w:lastRow="0" w:noHBand="0" w:noVBand="1" w:val="04A0"/>
      </w:tblPr>
      <w:tblGrid>
        <w:gridCol w:w="4320"/>
        <w:gridCol w:w="5472"/>
      </w:tblGrid>
      <w:tr>
        <w:trPr>
          <w:cantSplit/>
          <w:tblHeader/>
        </w:trPr>
        <w:tc>
          <w:tcPr>
            <w:tcW w:type="dxa" w:w="4320"/>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Supported pattern</w:t>
            </w:r>
          </w:p>
        </w:tc>
        <w:tc>
          <w:tcPr>
            <w:tcW w:type="dxa" w:w="5472"/>
            <w:shd w:fill="233B5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b/>
                <w:color w:val="FFFFFF"/>
                <w:sz w:val="18"/>
              </w:rPr>
              <w:t>Upper bound in runtime input magnitude</w:t>
            </w:r>
          </w:p>
        </w:tc>
      </w:tr>
      <w:tr>
        <w:trPr>
          <w:cantSplit/>
        </w:trPr>
        <w:tc>
          <w:tcPr>
            <w:tcW w:type="dxa" w:w="43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Monotone constant-step counter</w:t>
            </w:r>
          </w:p>
        </w:tc>
        <w:tc>
          <w:tcPr>
            <w:tcW w:type="dxa" w:w="54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O(n), with constant start/threshold and invariant input bound</w:t>
            </w:r>
          </w:p>
        </w:tc>
      </w:tr>
      <w:tr>
        <w:trPr>
          <w:cantSplit/>
        </w:trPr>
        <w:tc>
          <w:tcPr>
            <w:tcW w:type="dxa" w:w="43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Positive multiplication or valid division by factor at least two</w:t>
            </w:r>
          </w:p>
        </w:tc>
        <w:tc>
          <w:tcPr>
            <w:tcW w:type="dxa" w:w="54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O(log n)</w:t>
            </w:r>
          </w:p>
        </w:tc>
      </w:tr>
      <w:tr>
        <w:trPr>
          <w:cantSplit/>
        </w:trPr>
        <w:tc>
          <w:tcPr>
            <w:tcW w:type="dxa" w:w="43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Independent nested loops with reset counters</w:t>
            </w:r>
          </w:p>
        </w:tc>
        <w:tc>
          <w:tcPr>
            <w:tcW w:type="dxa" w:w="54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Products such as O(n squared), O(m times n) and O(n log n)</w:t>
            </w:r>
          </w:p>
        </w:tc>
      </w:tr>
      <w:tr>
        <w:trPr>
          <w:cantSplit/>
        </w:trPr>
        <w:tc>
          <w:tcPr>
            <w:tcW w:type="dxa" w:w="4320"/>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Literal-only fixed loop bounds</w:t>
            </w:r>
          </w:p>
        </w:tc>
        <w:tc>
          <w:tcPr>
            <w:tcW w:type="dxa" w:w="5472"/>
            <w:shd w:fill="F1F4F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O(1) relative to runtime input</w:t>
            </w:r>
          </w:p>
        </w:tc>
      </w:tr>
      <w:tr>
        <w:trPr>
          <w:cantSplit/>
        </w:trPr>
        <w:tc>
          <w:tcPr>
            <w:tcW w:type="dxa" w:w="43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Scalar auxiliary storage</w:t>
            </w:r>
          </w:p>
        </w:tc>
        <w:tc>
          <w:tcPr>
            <w:tcW w:type="dxa" w:w="547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sz w:val="18"/>
              </w:rPr>
              <w:t>O(1) scalar slots for a fixed program; actual symbol/temporary counts shown</w:t>
            </w:r>
          </w:p>
        </w:tc>
      </w:tr>
    </w:tbl>
    <w:p>
      <w:pPr>
        <w:spacing w:after="0"/>
      </w:pPr>
    </w:p>
    <w:p>
      <w:r>
        <w:t>The analyzer uses the semantically annotated AST and symbol identities, never measured sample runtimes. It explains counter recurrence, nesting, bounds, assumptions and confidence. Ambiguous termination, compound conditions, changing bounds, conditional updates, dependent nesting and unsupported recurrences report Unable to determine.</w:t>
      </w:r>
    </w:p>
    <w:p>
      <w:r>
        <w:t>The model counts scalar operations, not Python integer bit costs. O(1) scalar slots does not mean O(1) bits or bytes; integers may grow. Input/output buffers, IDE trace and compiler artifacts are excluded. Exact time and memory are not claimed. Measured VM instruction counts remain in Execution Results. The full supported subset and tests are documented in docs/COMPLEXITY.md and tests/test_complexity.py.</w:t>
      </w:r>
    </w:p>
    <w:p>
      <w:pPr>
        <w:pStyle w:val="Heading1"/>
        <w:pageBreakBefore/>
      </w:pPr>
      <w:r>
        <w:t>Real-time compilation and source versions</w:t>
      </w:r>
    </w:p>
    <w:p>
      <w:r>
        <w:t>Typing starts a 350 ms debounce. A background QThread calls the same compiler through code generation, publishing real tokens, AST, semantic results, symbols, IR and VM instructions. CFG and complexity are derived from that result. Errors preserve earlier stages and block unsafe downstream work. No program is executed automatically.</w:t>
      </w:r>
    </w:p>
    <w:p>
      <w:pPr>
        <w:spacing w:after="60"/>
      </w:pPr>
      <w:r>
        <w:drawing>
          <wp:inline xmlns:a="http://schemas.openxmlformats.org/drawingml/2006/main" xmlns:pic="http://schemas.openxmlformats.org/drawingml/2006/picture">
            <wp:extent cx="6217920" cy="3391593"/>
            <wp:docPr id="14" name="Picture 14"/>
            <wp:cNvGraphicFramePr>
              <a:graphicFrameLocks noChangeAspect="1"/>
            </wp:cNvGraphicFramePr>
            <a:graphic>
              <a:graphicData uri="http://schemas.openxmlformats.org/drawingml/2006/picture">
                <pic:pic>
                  <pic:nvPicPr>
                    <pic:cNvPr id="0" name="14_realtime_compilation.png"/>
                    <pic:cNvPicPr/>
                  </pic:nvPicPr>
                  <pic:blipFill>
                    <a:blip r:embed="rId22"/>
                    <a:stretch>
                      <a:fillRect/>
                    </a:stretch>
                  </pic:blipFill>
                  <pic:spPr>
                    <a:xfrm>
                      <a:off x="0" y="0"/>
                      <a:ext cx="6217920" cy="3391593"/>
                    </a:xfrm>
                    <a:prstGeom prst="rect"/>
                  </pic:spPr>
                </pic:pic>
              </a:graphicData>
            </a:graphic>
          </wp:inline>
        </w:drawing>
      </w:r>
    </w:p>
    <w:p>
      <w:pPr>
        <w:spacing w:after="160"/>
      </w:pPr>
      <w:r>
        <w:rPr>
          <w:i/>
          <w:sz w:val="18"/>
        </w:rPr>
        <w:t>Figure 14  Typing alone generated revision 8 VM code; the retained runtime still identifies revision 6</w:t>
      </w:r>
    </w:p>
    <w:p>
      <w:pPr>
        <w:pStyle w:val="Heading2"/>
      </w:pPr>
      <w:r>
        <w:t>Compile and Run behavior</w:t>
      </w:r>
    </w:p>
    <w:p>
      <w:r>
        <w:t>Compile builds immediately. Run checks exact source and revision, reuses successful current bytecode when available and compiles first otherwise. Invalid current source cannot execute older code. Reusing a compilation creates a new execution ID. Source revision and worker-identity checks reject obsolete signals, including rapid edits.</w:t>
      </w:r>
    </w:p>
    <w:p>
      <w:pPr>
        <w:pStyle w:val="Heading2"/>
      </w:pPr>
      <w:r>
        <w:t>Editing during execution</w:t>
      </w:r>
    </w:p>
    <w:p>
      <w:r>
        <w:t>The newest compilation and active/most recent execution are separate sessions. While an earlier VM waits for input, the editor can compile a newer revision. Stage inspectors follow the editor; runtime output, trace and pending input keep their original identity. Runtime views visibly identify earlier source. Terminal text and completed results survive sidebar navigation, source edits and completion.</w:t>
      </w:r>
    </w:p>
    <w:p>
      <w:pPr>
        <w:pStyle w:val="Heading2"/>
      </w:pPr>
      <w:r>
        <w:t>Executed acceptance evidence</w:t>
      </w:r>
    </w:p>
    <w:p>
      <w:r>
        <w:t>Fifteen tests in test_realtime.py exercise terminal entry, sequential reads, output before input, Stop/restart, EOF/invalid input, all-stage debounce, cache reuse, stale-code rejection, rapid edits, navigation, responsive Qt timers, simultaneous source/runtime versions, clear/repeat-Run behavior and distinct transcript formats. All passed in the recorded full suite. docs/TESTING.md maps the eleven requested scenarios to exact tests.</w:t>
      </w:r>
    </w:p>
    <w:p>
      <w:pPr>
        <w:pStyle w:val="Heading1"/>
        <w:pageBreakBefore/>
      </w:pPr>
      <w:r>
        <w:t>Integrated terminal input demonstration</w:t>
      </w:r>
    </w:p>
    <w:p>
      <w:pPr>
        <w:spacing w:after="60"/>
      </w:pPr>
      <w:r>
        <w:drawing>
          <wp:inline xmlns:a="http://schemas.openxmlformats.org/drawingml/2006/main" xmlns:pic="http://schemas.openxmlformats.org/drawingml/2006/picture">
            <wp:extent cx="6217920" cy="3391593"/>
            <wp:docPr id="15" name="Picture 15"/>
            <wp:cNvGraphicFramePr>
              <a:graphicFrameLocks noChangeAspect="1"/>
            </wp:cNvGraphicFramePr>
            <a:graphic>
              <a:graphicData uri="http://schemas.openxmlformats.org/drawingml/2006/picture">
                <pic:pic>
                  <pic:nvPicPr>
                    <pic:cNvPr id="0" name="15_terminal_input.png"/>
                    <pic:cNvPicPr/>
                  </pic:nvPicPr>
                  <pic:blipFill>
                    <a:blip r:embed="rId23"/>
                    <a:stretch>
                      <a:fillRect/>
                    </a:stretch>
                  </pic:blipFill>
                  <pic:spPr>
                    <a:xfrm>
                      <a:off x="0" y="0"/>
                      <a:ext cx="6217920" cy="3391593"/>
                    </a:xfrm>
                    <a:prstGeom prst="rect"/>
                  </pic:spPr>
                </pic:pic>
              </a:graphicData>
            </a:graphic>
          </wp:inline>
        </w:drawing>
      </w:r>
    </w:p>
    <w:p>
      <w:pPr>
        <w:spacing w:after="160"/>
      </w:pPr>
      <w:r>
        <w:rPr>
          <w:i/>
          <w:sz w:val="18"/>
        </w:rPr>
        <w:t>Figure 15  Cached current compilation runs in the actual VM and waits for terminal input</w:t>
      </w:r>
    </w:p>
    <w:p>
      <w:pPr>
        <w:spacing w:after="60"/>
      </w:pPr>
      <w:r>
        <w:drawing>
          <wp:inline xmlns:a="http://schemas.openxmlformats.org/drawingml/2006/main" xmlns:pic="http://schemas.openxmlformats.org/drawingml/2006/picture">
            <wp:extent cx="6217920" cy="3391593"/>
            <wp:docPr id="16" name="Picture 16"/>
            <wp:cNvGraphicFramePr>
              <a:graphicFrameLocks noChangeAspect="1"/>
            </wp:cNvGraphicFramePr>
            <a:graphic>
              <a:graphicData uri="http://schemas.openxmlformats.org/drawingml/2006/picture">
                <pic:pic>
                  <pic:nvPicPr>
                    <pic:cNvPr id="0" name="16_terminal_results.png"/>
                    <pic:cNvPicPr/>
                  </pic:nvPicPr>
                  <pic:blipFill>
                    <a:blip r:embed="rId24"/>
                    <a:stretch>
                      <a:fillRect/>
                    </a:stretch>
                  </pic:blipFill>
                  <pic:spPr>
                    <a:xfrm>
                      <a:off x="0" y="0"/>
                      <a:ext cx="6217920" cy="3391593"/>
                    </a:xfrm>
                    <a:prstGeom prst="rect"/>
                  </pic:spPr>
                </pic:pic>
              </a:graphicData>
            </a:graphic>
          </wp:inline>
        </w:drawing>
      </w:r>
    </w:p>
    <w:p>
      <w:pPr>
        <w:spacing w:after="160"/>
      </w:pPr>
      <w:r>
        <w:rPr>
          <w:i/>
          <w:sz w:val="18"/>
        </w:rPr>
        <w:t>Figure 16  Entering 20 then 22 inside the IDE produces the genuine output sum = 42</w:t>
      </w:r>
    </w:p>
    <w:p>
      <w:r>
        <w:t>The native verification typed both values into the integrated field with Enter. The VM pauses via a queue adapter around its existing typed InputReader. Requests include execution ID and sequence; a lock rejects duplicate, cancelled or outdated submissions. No external console, input argument or alternate interpreter is required.</w:t>
      </w:r>
    </w:p>
    <w:p>
      <w:r>
        <w:t>The terminal streams output, prompts, input echo, errors and lifecycle records in distinct colors. Separate visible labels show compilation and runtime status. End Input sends EOF and reports input exhaustion. Stop cancels a waiting read safely. Clear Terminal retains compiler/runtime state and a pending read. Automatic compiler diagnostics stay in editor/inspectors; explicit Compile/Run errors also appear in the terminal.</w:t>
      </w:r>
    </w:p>
    <w:sectPr w:rsidR="00FC693F" w:rsidRPr="0006063C" w:rsidSect="00034616">
      <w:footerReference w:type="default" r:id="rId25"/>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Tiny Compiler 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Programming Language Compiler IDE</dc:title>
  <dc:subject>Review 2 implementation and verification report</dc:subject>
  <dc:creator>Tiny Compiler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