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7DEF" w14:textId="4C190EC9" w:rsidR="00306D6B" w:rsidRDefault="000A5106" w:rsidP="00C47D46">
      <w:pPr>
        <w:rPr>
          <w:sz w:val="20"/>
        </w:rPr>
      </w:pPr>
      <w:r w:rsidRPr="00E51757">
        <w:rPr>
          <w:noProof/>
          <w:color w:val="034EA2"/>
          <w:lang w:val="en-US" w:eastAsia="en-US"/>
        </w:rPr>
        <mc:AlternateContent>
          <mc:Choice Requires="wps">
            <w:drawing>
              <wp:anchor distT="0" distB="0" distL="114300" distR="114300" simplePos="0" relativeHeight="251660288" behindDoc="0" locked="0" layoutInCell="1" allowOverlap="1" wp14:anchorId="060B76FA" wp14:editId="7BB394DE">
                <wp:simplePos x="0" y="0"/>
                <wp:positionH relativeFrom="column">
                  <wp:posOffset>-567055</wp:posOffset>
                </wp:positionH>
                <wp:positionV relativeFrom="paragraph">
                  <wp:posOffset>-563245</wp:posOffset>
                </wp:positionV>
                <wp:extent cx="2599055" cy="2346325"/>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9055" cy="2346325"/>
                        </a:xfrm>
                        <a:prstGeom prst="rect">
                          <a:avLst/>
                        </a:prstGeom>
                        <a:solidFill>
                          <a:srgbClr val="004494"/>
                        </a:solidFill>
                        <a:ln>
                          <a:noFill/>
                        </a:ln>
                        <a:effectLst/>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D3FA0D6" id="Rectangle 4" o:spid="_x0000_s1026" style="position:absolute;margin-left:-44.65pt;margin-top:-44.35pt;width:204.65pt;height:1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" fillcolor="#004494" stroked="f">
                <v:textbox inset="0,,0"/>
              </v:rect>
            </w:pict>
          </mc:Fallback>
        </mc:AlternateContent>
      </w:r>
      <w:r w:rsidR="003E0D9B">
        <w:rPr>
          <w:noProof/>
          <w:sz w:val="20"/>
          <w:lang w:val="en-US" w:eastAsia="en-US"/>
        </w:rPr>
        <w:drawing>
          <wp:anchor distT="0" distB="0" distL="114300" distR="114300" simplePos="0" relativeHeight="251666432" behindDoc="0" locked="0" layoutInCell="1" allowOverlap="1" wp14:anchorId="1EF87C6B" wp14:editId="5EA0C606">
            <wp:simplePos x="0" y="0"/>
            <wp:positionH relativeFrom="margin">
              <wp:posOffset>-466090</wp:posOffset>
            </wp:positionH>
            <wp:positionV relativeFrom="paragraph">
              <wp:posOffset>743585</wp:posOffset>
            </wp:positionV>
            <wp:extent cx="6228080" cy="1041400"/>
            <wp:effectExtent l="0" t="0" r="127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VITAS_europe_coverheader_CIVITAS Coverheader 3b.png"/>
                    <pic:cNvPicPr/>
                  </pic:nvPicPr>
                  <pic:blipFill rotWithShape="1">
                    <a:blip r:embed="rId11">
                      <a:extLst>
                        <a:ext uri="{28A0092B-C50C-407E-A947-70E740481C1C}">
                          <a14:useLocalDpi xmlns:a14="http://schemas.microsoft.com/office/drawing/2010/main" val="0"/>
                        </a:ext>
                      </a:extLst>
                    </a:blip>
                    <a:srcRect l="2034"/>
                    <a:stretch/>
                  </pic:blipFill>
                  <pic:spPr bwMode="auto">
                    <a:xfrm>
                      <a:off x="0" y="0"/>
                      <a:ext cx="6228080" cy="104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6A5493" w14:textId="77777777" w:rsidR="00306D6B" w:rsidRPr="00306D6B" w:rsidRDefault="00306D6B" w:rsidP="00306D6B">
      <w:pPr>
        <w:rPr>
          <w:sz w:val="20"/>
        </w:rPr>
      </w:pPr>
    </w:p>
    <w:p w14:paraId="3FE7B864" w14:textId="77777777" w:rsidR="00306D6B" w:rsidRPr="00306D6B" w:rsidRDefault="00306D6B" w:rsidP="00306D6B">
      <w:pPr>
        <w:rPr>
          <w:sz w:val="20"/>
        </w:rPr>
      </w:pPr>
    </w:p>
    <w:p w14:paraId="1CF80217" w14:textId="77777777" w:rsidR="00306D6B" w:rsidRPr="00306D6B" w:rsidRDefault="00306D6B" w:rsidP="00306D6B">
      <w:pPr>
        <w:rPr>
          <w:sz w:val="20"/>
        </w:rPr>
      </w:pPr>
    </w:p>
    <w:p w14:paraId="2D6AECA7" w14:textId="77777777" w:rsidR="00306D6B" w:rsidRPr="00306D6B" w:rsidRDefault="00306D6B" w:rsidP="00306D6B">
      <w:pPr>
        <w:rPr>
          <w:sz w:val="20"/>
        </w:rPr>
      </w:pPr>
    </w:p>
    <w:p w14:paraId="439A012D" w14:textId="77777777" w:rsidR="00306D6B" w:rsidRPr="00306D6B" w:rsidRDefault="00306D6B" w:rsidP="00306D6B">
      <w:pPr>
        <w:rPr>
          <w:sz w:val="20"/>
        </w:rPr>
      </w:pPr>
    </w:p>
    <w:p w14:paraId="5EA68CE7" w14:textId="77777777" w:rsidR="00306D6B" w:rsidRPr="00306D6B" w:rsidRDefault="00306D6B" w:rsidP="00306D6B">
      <w:pPr>
        <w:rPr>
          <w:sz w:val="20"/>
        </w:rPr>
      </w:pPr>
    </w:p>
    <w:p w14:paraId="42E137C0" w14:textId="77777777" w:rsidR="00306D6B" w:rsidRPr="00306D6B" w:rsidRDefault="00306D6B" w:rsidP="00306D6B">
      <w:pPr>
        <w:rPr>
          <w:sz w:val="20"/>
        </w:rPr>
      </w:pPr>
    </w:p>
    <w:p w14:paraId="646FD867" w14:textId="77777777" w:rsidR="00703FA7" w:rsidRPr="005B1143" w:rsidRDefault="00703FA7" w:rsidP="00703FA7">
      <w:pPr>
        <w:rPr>
          <w:b/>
          <w:color w:val="034EA2"/>
          <w:sz w:val="44"/>
          <w:szCs w:val="44"/>
        </w:rPr>
      </w:pPr>
      <w:r w:rsidRPr="005B1143">
        <w:rPr>
          <w:b/>
          <w:color w:val="034EA2"/>
          <w:sz w:val="44"/>
          <w:szCs w:val="44"/>
        </w:rPr>
        <w:t>CIVITAS indicators</w:t>
      </w:r>
    </w:p>
    <w:p w14:paraId="7EB92ABF" w14:textId="0713FAFB" w:rsidR="002417B0" w:rsidRPr="000D148F" w:rsidRDefault="009D5435" w:rsidP="00356E69">
      <w:pPr>
        <w:pStyle w:val="CIVHeadline2"/>
        <w:numPr>
          <w:ilvl w:val="0"/>
          <w:numId w:val="0"/>
        </w:numPr>
      </w:pPr>
      <w:r>
        <w:t>Share of e</w:t>
      </w:r>
      <w:r w:rsidR="00DD0866" w:rsidRPr="00DD0866">
        <w:t xml:space="preserve">lectric/hydrogen </w:t>
      </w:r>
      <w:r w:rsidR="00462F3D">
        <w:t>road freight vehicles</w:t>
      </w:r>
      <w:r>
        <w:t xml:space="preserve"> </w:t>
      </w:r>
      <w:r w:rsidR="002417B0" w:rsidRPr="000D148F">
        <w:t>(</w:t>
      </w:r>
      <w:r w:rsidR="00525F66" w:rsidRPr="000D148F">
        <w:t>EN</w:t>
      </w:r>
      <w:r w:rsidR="002036C3" w:rsidRPr="000D148F">
        <w:t>V</w:t>
      </w:r>
      <w:r w:rsidR="002417B0" w:rsidRPr="000D148F">
        <w:t>_</w:t>
      </w:r>
      <w:r w:rsidR="002036C3" w:rsidRPr="000D148F">
        <w:t>DC</w:t>
      </w:r>
      <w:r w:rsidR="002417B0" w:rsidRPr="000D148F">
        <w:t>_</w:t>
      </w:r>
      <w:r w:rsidR="00DD0866">
        <w:t>A</w:t>
      </w:r>
      <w:r w:rsidR="006168A4">
        <w:t>F</w:t>
      </w:r>
      <w:r w:rsidR="00DD0866">
        <w:t>V</w:t>
      </w:r>
      <w:r w:rsidR="00076556">
        <w:t>2</w:t>
      </w:r>
      <w:r w:rsidR="002417B0" w:rsidRPr="000D148F">
        <w:t>)</w:t>
      </w:r>
    </w:p>
    <w:p w14:paraId="2FE9F37C" w14:textId="77777777" w:rsidR="002417B0" w:rsidRPr="000D148F" w:rsidRDefault="002417B0" w:rsidP="00703FA7">
      <w:pPr>
        <w:rPr>
          <w:b/>
          <w:color w:val="034EA2"/>
          <w:sz w:val="44"/>
          <w:szCs w:val="44"/>
        </w:rPr>
      </w:pPr>
    </w:p>
    <w:p w14:paraId="1619EA07" w14:textId="595E7B6A" w:rsidR="002905CD" w:rsidRPr="002036C3" w:rsidRDefault="002417B0" w:rsidP="002905CD">
      <w:pPr>
        <w:pStyle w:val="CIVHeadline2"/>
        <w:numPr>
          <w:ilvl w:val="0"/>
          <w:numId w:val="0"/>
        </w:numPr>
        <w:ind w:left="576" w:hanging="576"/>
        <w:rPr>
          <w:lang w:val="fr-CI"/>
        </w:rPr>
      </w:pPr>
      <w:r w:rsidRPr="002036C3">
        <w:rPr>
          <w:lang w:val="fr-CI"/>
        </w:rPr>
        <w:t>DOMAIN</w:t>
      </w:r>
    </w:p>
    <w:tbl>
      <w:tblPr>
        <w:tblStyle w:val="TableGrid"/>
        <w:tblW w:w="5003" w:type="pct"/>
        <w:tblLook w:val="04A0" w:firstRow="1" w:lastRow="0" w:firstColumn="1" w:lastColumn="0" w:noHBand="0" w:noVBand="1"/>
      </w:tblPr>
      <w:tblGrid>
        <w:gridCol w:w="1925"/>
        <w:gridCol w:w="1925"/>
        <w:gridCol w:w="1926"/>
        <w:gridCol w:w="1926"/>
        <w:gridCol w:w="1926"/>
      </w:tblGrid>
      <w:tr w:rsidR="00983D33" w14:paraId="5C7805F4" w14:textId="77777777" w:rsidTr="002036C3">
        <w:trPr>
          <w:trHeight w:val="723"/>
        </w:trPr>
        <w:tc>
          <w:tcPr>
            <w:tcW w:w="1000" w:type="pct"/>
            <w:tcBorders>
              <w:top w:val="single" w:sz="4" w:space="0" w:color="auto"/>
              <w:left w:val="single" w:sz="4" w:space="0" w:color="auto"/>
              <w:bottom w:val="single" w:sz="4" w:space="0" w:color="auto"/>
              <w:right w:val="single" w:sz="18" w:space="0" w:color="00A3E7" w:themeColor="accent1"/>
            </w:tcBorders>
            <w:shd w:val="clear" w:color="auto" w:fill="auto"/>
            <w:vAlign w:val="bottom"/>
            <w:hideMark/>
          </w:tcPr>
          <w:p w14:paraId="74F34085" w14:textId="77777777" w:rsidR="00983D33" w:rsidRDefault="00983D33" w:rsidP="009667CA">
            <w:pPr>
              <w:jc w:val="center"/>
              <w:rPr>
                <w:b/>
                <w:bCs/>
                <w:szCs w:val="22"/>
              </w:rPr>
            </w:pPr>
            <w:r>
              <w:rPr>
                <w:noProof/>
              </w:rPr>
              <w:drawing>
                <wp:inline distT="0" distB="0" distL="0" distR="0" wp14:anchorId="03893ACF" wp14:editId="42A1D085">
                  <wp:extent cx="676275" cy="609600"/>
                  <wp:effectExtent l="0" t="0" r="9525" b="0"/>
                  <wp:docPr id="139911760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609600"/>
                          </a:xfrm>
                          <a:prstGeom prst="rect">
                            <a:avLst/>
                          </a:prstGeom>
                          <a:noFill/>
                          <a:ln>
                            <a:noFill/>
                          </a:ln>
                        </pic:spPr>
                      </pic:pic>
                    </a:graphicData>
                  </a:graphic>
                </wp:inline>
              </w:drawing>
            </w:r>
          </w:p>
          <w:p w14:paraId="32FF3018" w14:textId="77777777" w:rsidR="00983D33" w:rsidRPr="002036C3" w:rsidRDefault="00983D33" w:rsidP="009667CA">
            <w:pPr>
              <w:jc w:val="center"/>
              <w:rPr>
                <w:szCs w:val="22"/>
              </w:rPr>
            </w:pPr>
            <w:r w:rsidRPr="002036C3">
              <w:rPr>
                <w:szCs w:val="22"/>
              </w:rPr>
              <w:t>Transport</w:t>
            </w:r>
          </w:p>
        </w:tc>
        <w:tc>
          <w:tcPr>
            <w:tcW w:w="1000" w:type="pct"/>
            <w:tcBorders>
              <w:top w:val="single" w:sz="18" w:space="0" w:color="00A3E7" w:themeColor="accent1"/>
              <w:left w:val="single" w:sz="18" w:space="0" w:color="00A3E7" w:themeColor="accent1"/>
              <w:bottom w:val="single" w:sz="18" w:space="0" w:color="00A3E7" w:themeColor="accent1"/>
              <w:right w:val="single" w:sz="18" w:space="0" w:color="00A3E7" w:themeColor="accent1"/>
            </w:tcBorders>
            <w:shd w:val="clear" w:color="auto" w:fill="C7EEFF" w:themeFill="accent1" w:themeFillTint="33"/>
            <w:vAlign w:val="bottom"/>
            <w:hideMark/>
          </w:tcPr>
          <w:p w14:paraId="02E4D347" w14:textId="77777777" w:rsidR="00983D33" w:rsidRDefault="00983D33" w:rsidP="009667CA">
            <w:pPr>
              <w:jc w:val="center"/>
              <w:rPr>
                <w:szCs w:val="22"/>
              </w:rPr>
            </w:pPr>
            <w:r>
              <w:rPr>
                <w:noProof/>
              </w:rPr>
              <w:drawing>
                <wp:inline distT="0" distB="0" distL="0" distR="0" wp14:anchorId="54C9566E" wp14:editId="4B05AB2D">
                  <wp:extent cx="676275" cy="609600"/>
                  <wp:effectExtent l="0" t="0" r="9525" b="0"/>
                  <wp:docPr id="138647680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333188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609600"/>
                          </a:xfrm>
                          <a:prstGeom prst="rect">
                            <a:avLst/>
                          </a:prstGeom>
                          <a:noFill/>
                          <a:ln>
                            <a:noFill/>
                          </a:ln>
                        </pic:spPr>
                      </pic:pic>
                    </a:graphicData>
                  </a:graphic>
                </wp:inline>
              </w:drawing>
            </w:r>
          </w:p>
          <w:p w14:paraId="1F89F401" w14:textId="77777777" w:rsidR="00983D33" w:rsidRPr="002036C3" w:rsidRDefault="00983D33" w:rsidP="009667CA">
            <w:pPr>
              <w:jc w:val="center"/>
              <w:rPr>
                <w:b/>
                <w:bCs/>
                <w:szCs w:val="22"/>
              </w:rPr>
            </w:pPr>
            <w:r w:rsidRPr="002036C3">
              <w:rPr>
                <w:b/>
                <w:bCs/>
                <w:szCs w:val="22"/>
              </w:rPr>
              <w:t>Environment</w:t>
            </w:r>
          </w:p>
        </w:tc>
        <w:tc>
          <w:tcPr>
            <w:tcW w:w="1000" w:type="pct"/>
            <w:tcBorders>
              <w:top w:val="single" w:sz="4" w:space="0" w:color="auto"/>
              <w:left w:val="single" w:sz="18" w:space="0" w:color="00A3E7" w:themeColor="accent1"/>
              <w:bottom w:val="single" w:sz="4" w:space="0" w:color="auto"/>
              <w:right w:val="single" w:sz="4" w:space="0" w:color="auto"/>
            </w:tcBorders>
            <w:shd w:val="clear" w:color="auto" w:fill="auto"/>
            <w:vAlign w:val="bottom"/>
            <w:hideMark/>
          </w:tcPr>
          <w:p w14:paraId="0A62A076" w14:textId="77777777" w:rsidR="00983D33" w:rsidRDefault="00983D33" w:rsidP="009667CA">
            <w:pPr>
              <w:jc w:val="center"/>
              <w:rPr>
                <w:szCs w:val="22"/>
              </w:rPr>
            </w:pPr>
            <w:r>
              <w:rPr>
                <w:noProof/>
              </w:rPr>
              <w:drawing>
                <wp:inline distT="0" distB="0" distL="0" distR="0" wp14:anchorId="3384C8CC" wp14:editId="0817FFB9">
                  <wp:extent cx="676275" cy="609600"/>
                  <wp:effectExtent l="0" t="0" r="9525" b="0"/>
                  <wp:docPr id="109895900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000635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609600"/>
                          </a:xfrm>
                          <a:prstGeom prst="rect">
                            <a:avLst/>
                          </a:prstGeom>
                          <a:noFill/>
                          <a:ln>
                            <a:noFill/>
                          </a:ln>
                        </pic:spPr>
                      </pic:pic>
                    </a:graphicData>
                  </a:graphic>
                </wp:inline>
              </w:drawing>
            </w:r>
          </w:p>
          <w:p w14:paraId="04B28E09" w14:textId="77777777" w:rsidR="00983D33" w:rsidRDefault="00983D33" w:rsidP="009667CA">
            <w:pPr>
              <w:jc w:val="center"/>
              <w:rPr>
                <w:szCs w:val="22"/>
              </w:rPr>
            </w:pPr>
            <w:r>
              <w:rPr>
                <w:szCs w:val="22"/>
              </w:rPr>
              <w:t>Energy</w:t>
            </w:r>
          </w:p>
        </w:tc>
        <w:tc>
          <w:tcPr>
            <w:tcW w:w="1000" w:type="pct"/>
            <w:tcBorders>
              <w:top w:val="single" w:sz="4" w:space="0" w:color="auto"/>
              <w:left w:val="single" w:sz="4" w:space="0" w:color="auto"/>
              <w:bottom w:val="single" w:sz="4" w:space="0" w:color="auto"/>
              <w:right w:val="single" w:sz="4" w:space="0" w:color="auto"/>
            </w:tcBorders>
            <w:vAlign w:val="bottom"/>
            <w:hideMark/>
          </w:tcPr>
          <w:p w14:paraId="50FFA777" w14:textId="77777777" w:rsidR="00983D33" w:rsidRDefault="00983D33" w:rsidP="009667CA">
            <w:pPr>
              <w:jc w:val="center"/>
              <w:rPr>
                <w:szCs w:val="22"/>
              </w:rPr>
            </w:pPr>
            <w:r>
              <w:rPr>
                <w:noProof/>
              </w:rPr>
              <w:drawing>
                <wp:inline distT="0" distB="0" distL="0" distR="0" wp14:anchorId="1BBA05DF" wp14:editId="4A7FEF30">
                  <wp:extent cx="676275" cy="609600"/>
                  <wp:effectExtent l="0" t="0" r="9525" b="0"/>
                  <wp:docPr id="188375790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37961680"/>
                          <pic:cNvPicPr>
                            <a:picLocks noChangeAspect="1" noChangeArrowheads="1"/>
                          </pic:cNvPicPr>
                        </pic:nvPicPr>
                        <pic:blipFill>
                          <a:blip r:embed="rId15">
                            <a:extLst>
                              <a:ext uri="{28A0092B-C50C-407E-A947-70E740481C1C}">
                                <a14:useLocalDpi xmlns:a14="http://schemas.microsoft.com/office/drawing/2010/main" val="0"/>
                              </a:ext>
                            </a:extLst>
                          </a:blip>
                          <a:srcRect r="-6310"/>
                          <a:stretch>
                            <a:fillRect/>
                          </a:stretch>
                        </pic:blipFill>
                        <pic:spPr bwMode="auto">
                          <a:xfrm>
                            <a:off x="0" y="0"/>
                            <a:ext cx="676275" cy="609600"/>
                          </a:xfrm>
                          <a:prstGeom prst="rect">
                            <a:avLst/>
                          </a:prstGeom>
                          <a:noFill/>
                          <a:ln>
                            <a:noFill/>
                          </a:ln>
                        </pic:spPr>
                      </pic:pic>
                    </a:graphicData>
                  </a:graphic>
                </wp:inline>
              </w:drawing>
            </w:r>
          </w:p>
          <w:p w14:paraId="7AC862E8" w14:textId="77777777" w:rsidR="00983D33" w:rsidRDefault="00983D33" w:rsidP="009667CA">
            <w:pPr>
              <w:jc w:val="center"/>
              <w:rPr>
                <w:szCs w:val="22"/>
              </w:rPr>
            </w:pPr>
            <w:r>
              <w:rPr>
                <w:szCs w:val="22"/>
              </w:rPr>
              <w:t>Society</w:t>
            </w:r>
          </w:p>
        </w:tc>
        <w:tc>
          <w:tcPr>
            <w:tcW w:w="1000" w:type="pct"/>
            <w:tcBorders>
              <w:top w:val="single" w:sz="4" w:space="0" w:color="auto"/>
              <w:left w:val="single" w:sz="4" w:space="0" w:color="auto"/>
              <w:bottom w:val="single" w:sz="4" w:space="0" w:color="auto"/>
              <w:right w:val="single" w:sz="4" w:space="0" w:color="auto"/>
            </w:tcBorders>
            <w:vAlign w:val="bottom"/>
            <w:hideMark/>
          </w:tcPr>
          <w:p w14:paraId="748766F3" w14:textId="77777777" w:rsidR="00983D33" w:rsidRDefault="00983D33" w:rsidP="009667CA">
            <w:pPr>
              <w:jc w:val="center"/>
              <w:rPr>
                <w:szCs w:val="22"/>
              </w:rPr>
            </w:pPr>
            <w:r>
              <w:rPr>
                <w:noProof/>
              </w:rPr>
              <w:drawing>
                <wp:inline distT="0" distB="0" distL="0" distR="0" wp14:anchorId="2907E09A" wp14:editId="2E403775">
                  <wp:extent cx="676275" cy="609600"/>
                  <wp:effectExtent l="0" t="0" r="9525" b="0"/>
                  <wp:docPr id="182254264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136108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275" cy="609600"/>
                          </a:xfrm>
                          <a:prstGeom prst="rect">
                            <a:avLst/>
                          </a:prstGeom>
                          <a:noFill/>
                          <a:ln>
                            <a:noFill/>
                          </a:ln>
                        </pic:spPr>
                      </pic:pic>
                    </a:graphicData>
                  </a:graphic>
                </wp:inline>
              </w:drawing>
            </w:r>
          </w:p>
          <w:p w14:paraId="09855E1C" w14:textId="77777777" w:rsidR="00983D33" w:rsidRDefault="00983D33" w:rsidP="009667CA">
            <w:pPr>
              <w:jc w:val="center"/>
              <w:rPr>
                <w:szCs w:val="22"/>
              </w:rPr>
            </w:pPr>
            <w:r>
              <w:rPr>
                <w:szCs w:val="22"/>
              </w:rPr>
              <w:t>Economy</w:t>
            </w:r>
          </w:p>
        </w:tc>
      </w:tr>
    </w:tbl>
    <w:p w14:paraId="4840B1D6" w14:textId="77777777" w:rsidR="00983D33" w:rsidRDefault="00983D33" w:rsidP="002905CD">
      <w:pPr>
        <w:pStyle w:val="CIVHeadline2"/>
        <w:numPr>
          <w:ilvl w:val="0"/>
          <w:numId w:val="0"/>
        </w:numPr>
        <w:ind w:left="576" w:hanging="576"/>
      </w:pPr>
    </w:p>
    <w:tbl>
      <w:tblPr>
        <w:tblStyle w:val="GridTable3-Accent5"/>
        <w:tblW w:w="5000" w:type="pct"/>
        <w:tblLook w:val="0680" w:firstRow="0" w:lastRow="0" w:firstColumn="1" w:lastColumn="0" w:noHBand="1" w:noVBand="1"/>
      </w:tblPr>
      <w:tblGrid>
        <w:gridCol w:w="1881"/>
        <w:gridCol w:w="6036"/>
        <w:gridCol w:w="1710"/>
      </w:tblGrid>
      <w:tr w:rsidR="004268E3" w14:paraId="282A20A9" w14:textId="29B8A2E1" w:rsidTr="00CA7299">
        <w:trPr>
          <w:trHeight w:val="842"/>
        </w:trPr>
        <w:tc>
          <w:tcPr>
            <w:cnfStyle w:val="001000000000" w:firstRow="0" w:lastRow="0" w:firstColumn="1" w:lastColumn="0" w:oddVBand="0" w:evenVBand="0" w:oddHBand="0" w:evenHBand="0" w:firstRowFirstColumn="0" w:firstRowLastColumn="0" w:lastRowFirstColumn="0" w:lastRowLastColumn="0"/>
            <w:tcW w:w="977" w:type="pct"/>
            <w:vAlign w:val="center"/>
          </w:tcPr>
          <w:p w14:paraId="780D0E41" w14:textId="77777777" w:rsidR="004268E3" w:rsidRPr="004268E3" w:rsidRDefault="004268E3" w:rsidP="004268E3">
            <w:pPr>
              <w:pStyle w:val="CIVHeadline2"/>
              <w:numPr>
                <w:ilvl w:val="0"/>
                <w:numId w:val="0"/>
              </w:numPr>
              <w:ind w:left="576" w:hanging="576"/>
              <w:jc w:val="left"/>
              <w:rPr>
                <w:i w:val="0"/>
                <w:iCs w:val="0"/>
              </w:rPr>
            </w:pPr>
            <w:r w:rsidRPr="004268E3">
              <w:rPr>
                <w:i w:val="0"/>
                <w:iCs w:val="0"/>
              </w:rPr>
              <w:t>TOPIC</w:t>
            </w:r>
          </w:p>
        </w:tc>
        <w:tc>
          <w:tcPr>
            <w:tcW w:w="4023" w:type="pct"/>
            <w:gridSpan w:val="2"/>
            <w:vAlign w:val="center"/>
          </w:tcPr>
          <w:p w14:paraId="2B4D6835" w14:textId="669DA9FA" w:rsidR="004268E3" w:rsidRPr="00D32090" w:rsidRDefault="002036C3" w:rsidP="00703FA7">
            <w:pPr>
              <w:jc w:val="left"/>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Decarbonisation</w:t>
            </w:r>
          </w:p>
        </w:tc>
      </w:tr>
      <w:tr w:rsidR="00E46ECB" w:rsidRPr="00CB7DAC" w14:paraId="473ED2A3" w14:textId="53A38442" w:rsidTr="00983D33">
        <w:trPr>
          <w:trHeight w:val="567"/>
        </w:trPr>
        <w:tc>
          <w:tcPr>
            <w:cnfStyle w:val="001000000000" w:firstRow="0" w:lastRow="0" w:firstColumn="1" w:lastColumn="0" w:oddVBand="0" w:evenVBand="0" w:oddHBand="0" w:evenHBand="0" w:firstRowFirstColumn="0" w:firstRowLastColumn="0" w:lastRowFirstColumn="0" w:lastRowLastColumn="0"/>
            <w:tcW w:w="977" w:type="pct"/>
            <w:vAlign w:val="center"/>
          </w:tcPr>
          <w:p w14:paraId="7333B76D" w14:textId="77777777" w:rsidR="00E46ECB" w:rsidRPr="004268E3" w:rsidRDefault="00E46ECB" w:rsidP="004268E3">
            <w:pPr>
              <w:pStyle w:val="CIVHeadline2"/>
              <w:numPr>
                <w:ilvl w:val="0"/>
                <w:numId w:val="0"/>
              </w:numPr>
              <w:ind w:left="576" w:hanging="576"/>
              <w:jc w:val="left"/>
              <w:rPr>
                <w:i w:val="0"/>
                <w:iCs w:val="0"/>
              </w:rPr>
            </w:pPr>
            <w:r w:rsidRPr="004268E3">
              <w:rPr>
                <w:i w:val="0"/>
                <w:iCs w:val="0"/>
              </w:rPr>
              <w:t>IMPACT</w:t>
            </w:r>
          </w:p>
        </w:tc>
        <w:tc>
          <w:tcPr>
            <w:tcW w:w="3135" w:type="pct"/>
            <w:vAlign w:val="center"/>
          </w:tcPr>
          <w:p w14:paraId="4E1D1AE8" w14:textId="090D35D5" w:rsidR="00E46ECB" w:rsidRDefault="00DD0866" w:rsidP="00703FA7">
            <w:pPr>
              <w:jc w:val="left"/>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Zero-emission </w:t>
            </w:r>
            <w:r w:rsidR="00076556">
              <w:rPr>
                <w:b/>
                <w:bCs/>
                <w:sz w:val="28"/>
                <w:szCs w:val="28"/>
              </w:rPr>
              <w:t>vehicles</w:t>
            </w:r>
            <w:r>
              <w:rPr>
                <w:b/>
                <w:bCs/>
                <w:sz w:val="28"/>
                <w:szCs w:val="28"/>
              </w:rPr>
              <w:t xml:space="preserve"> </w:t>
            </w:r>
            <w:r w:rsidR="00525F66">
              <w:rPr>
                <w:b/>
                <w:bCs/>
                <w:sz w:val="28"/>
                <w:szCs w:val="28"/>
              </w:rPr>
              <w:t xml:space="preserve"> </w:t>
            </w:r>
            <w:r w:rsidR="00E46ECB" w:rsidRPr="00E46ECB">
              <w:rPr>
                <w:b/>
                <w:bCs/>
                <w:sz w:val="28"/>
                <w:szCs w:val="28"/>
              </w:rPr>
              <w:t xml:space="preserve"> </w:t>
            </w:r>
          </w:p>
          <w:p w14:paraId="79BF9EDF" w14:textId="032B05A5" w:rsidR="00E46ECB" w:rsidRPr="000A5106" w:rsidRDefault="00DD0866" w:rsidP="00703FA7">
            <w:pPr>
              <w:jc w:val="left"/>
              <w:cnfStyle w:val="000000000000" w:firstRow="0" w:lastRow="0" w:firstColumn="0" w:lastColumn="0" w:oddVBand="0" w:evenVBand="0" w:oddHBand="0" w:evenHBand="0" w:firstRowFirstColumn="0" w:firstRowLastColumn="0" w:lastRowFirstColumn="0" w:lastRowLastColumn="0"/>
              <w:rPr>
                <w:i/>
                <w:iCs/>
                <w:sz w:val="28"/>
                <w:szCs w:val="28"/>
              </w:rPr>
            </w:pPr>
            <w:r>
              <w:rPr>
                <w:i/>
                <w:iCs/>
                <w:sz w:val="28"/>
                <w:szCs w:val="28"/>
              </w:rPr>
              <w:t xml:space="preserve">Increasing the share of zero-emissions </w:t>
            </w:r>
            <w:r w:rsidR="00462F3D">
              <w:rPr>
                <w:i/>
                <w:iCs/>
                <w:sz w:val="28"/>
                <w:szCs w:val="28"/>
              </w:rPr>
              <w:t>freight vehicles</w:t>
            </w:r>
          </w:p>
        </w:tc>
        <w:tc>
          <w:tcPr>
            <w:tcW w:w="888" w:type="pct"/>
            <w:vAlign w:val="center"/>
          </w:tcPr>
          <w:p w14:paraId="4315AAFF" w14:textId="3D173419" w:rsidR="00E46ECB" w:rsidRDefault="00525F66" w:rsidP="00703FA7">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EN</w:t>
            </w:r>
            <w:r w:rsidR="002036C3">
              <w:rPr>
                <w:b/>
                <w:bCs/>
                <w:sz w:val="28"/>
                <w:szCs w:val="28"/>
              </w:rPr>
              <w:t>V</w:t>
            </w:r>
            <w:r w:rsidR="009B29B6">
              <w:rPr>
                <w:b/>
                <w:bCs/>
                <w:sz w:val="28"/>
                <w:szCs w:val="28"/>
              </w:rPr>
              <w:t>_</w:t>
            </w:r>
            <w:r w:rsidR="002036C3">
              <w:rPr>
                <w:b/>
                <w:bCs/>
                <w:sz w:val="28"/>
                <w:szCs w:val="28"/>
              </w:rPr>
              <w:t>DC</w:t>
            </w:r>
          </w:p>
        </w:tc>
      </w:tr>
    </w:tbl>
    <w:p w14:paraId="0819A002" w14:textId="77777777" w:rsidR="00703FA7" w:rsidRDefault="00703FA7" w:rsidP="00703FA7">
      <w:pPr>
        <w:pStyle w:val="CIVHeadline2"/>
        <w:numPr>
          <w:ilvl w:val="0"/>
          <w:numId w:val="0"/>
        </w:numPr>
      </w:pPr>
    </w:p>
    <w:p w14:paraId="7F5D6107" w14:textId="77777777" w:rsidR="001A1812" w:rsidRDefault="001A1812" w:rsidP="001A1812">
      <w:pPr>
        <w:pStyle w:val="CIVHeadline2"/>
        <w:numPr>
          <w:ilvl w:val="0"/>
          <w:numId w:val="0"/>
        </w:numPr>
        <w:ind w:left="576" w:hanging="576"/>
      </w:pPr>
      <w:r w:rsidRPr="000A5106">
        <w:t>Category</w:t>
      </w:r>
    </w:p>
    <w:tbl>
      <w:tblPr>
        <w:tblStyle w:val="TableGrid"/>
        <w:tblW w:w="5000" w:type="pct"/>
        <w:tblLook w:val="04A0" w:firstRow="1" w:lastRow="0" w:firstColumn="1" w:lastColumn="0" w:noHBand="0" w:noVBand="1"/>
      </w:tblPr>
      <w:tblGrid>
        <w:gridCol w:w="3197"/>
        <w:gridCol w:w="3200"/>
        <w:gridCol w:w="3200"/>
      </w:tblGrid>
      <w:tr w:rsidR="001A1812" w14:paraId="594CBABE" w14:textId="77777777" w:rsidTr="004F0C6C">
        <w:trPr>
          <w:trHeight w:val="723"/>
        </w:trPr>
        <w:tc>
          <w:tcPr>
            <w:tcW w:w="1666" w:type="pct"/>
            <w:tcBorders>
              <w:top w:val="single" w:sz="24" w:space="0" w:color="00A3E7" w:themeColor="accent1"/>
              <w:left w:val="single" w:sz="24" w:space="0" w:color="00A3E7" w:themeColor="accent1"/>
              <w:bottom w:val="single" w:sz="24" w:space="0" w:color="00A3E7" w:themeColor="accent1"/>
              <w:right w:val="single" w:sz="24" w:space="0" w:color="00A3E7" w:themeColor="accent1"/>
            </w:tcBorders>
            <w:shd w:val="clear" w:color="auto" w:fill="C7EEFF" w:themeFill="accent1" w:themeFillTint="33"/>
            <w:vAlign w:val="center"/>
          </w:tcPr>
          <w:p w14:paraId="1B506D1E" w14:textId="77777777" w:rsidR="001A1812" w:rsidRPr="002036C3" w:rsidRDefault="001A1812" w:rsidP="00CB7DAC">
            <w:pPr>
              <w:jc w:val="center"/>
              <w:rPr>
                <w:b/>
                <w:bCs/>
                <w:szCs w:val="22"/>
              </w:rPr>
            </w:pPr>
            <w:r w:rsidRPr="002036C3">
              <w:rPr>
                <w:b/>
                <w:bCs/>
                <w:szCs w:val="22"/>
              </w:rPr>
              <w:t>Key indicator</w:t>
            </w:r>
          </w:p>
        </w:tc>
        <w:tc>
          <w:tcPr>
            <w:tcW w:w="1667" w:type="pct"/>
            <w:tcBorders>
              <w:top w:val="single" w:sz="4" w:space="0" w:color="auto"/>
              <w:left w:val="single" w:sz="24" w:space="0" w:color="00A3E7" w:themeColor="accent1"/>
              <w:bottom w:val="single" w:sz="4" w:space="0" w:color="auto"/>
              <w:right w:val="single" w:sz="4" w:space="0" w:color="auto"/>
            </w:tcBorders>
            <w:shd w:val="clear" w:color="auto" w:fill="auto"/>
            <w:vAlign w:val="center"/>
          </w:tcPr>
          <w:p w14:paraId="7776CA66" w14:textId="77777777" w:rsidR="001A1812" w:rsidRPr="002036C3" w:rsidRDefault="001A1812" w:rsidP="00CB7DAC">
            <w:pPr>
              <w:jc w:val="center"/>
              <w:rPr>
                <w:szCs w:val="22"/>
              </w:rPr>
            </w:pPr>
            <w:r w:rsidRPr="002036C3">
              <w:rPr>
                <w:szCs w:val="22"/>
              </w:rPr>
              <w:t>Supplementary indicator</w:t>
            </w:r>
          </w:p>
        </w:tc>
        <w:tc>
          <w:tcPr>
            <w:tcW w:w="1667" w:type="pct"/>
            <w:tcBorders>
              <w:left w:val="single" w:sz="4" w:space="0" w:color="auto"/>
            </w:tcBorders>
            <w:vAlign w:val="center"/>
          </w:tcPr>
          <w:p w14:paraId="233F953B" w14:textId="77777777" w:rsidR="001A1812" w:rsidRPr="000A5106" w:rsidRDefault="001A1812" w:rsidP="00CB7DAC">
            <w:pPr>
              <w:jc w:val="center"/>
              <w:rPr>
                <w:szCs w:val="22"/>
              </w:rPr>
            </w:pPr>
            <w:r w:rsidRPr="000A5106">
              <w:rPr>
                <w:szCs w:val="22"/>
              </w:rPr>
              <w:t>State indicator</w:t>
            </w:r>
          </w:p>
        </w:tc>
      </w:tr>
    </w:tbl>
    <w:p w14:paraId="2B4EB65A" w14:textId="77777777" w:rsidR="002905CD" w:rsidRDefault="002905CD">
      <w:pPr>
        <w:spacing w:before="0" w:after="0" w:line="240" w:lineRule="auto"/>
        <w:jc w:val="left"/>
        <w:rPr>
          <w:rFonts w:eastAsia="MS Mincho"/>
          <w:b/>
          <w:bCs/>
          <w:color w:val="004494"/>
          <w:sz w:val="28"/>
        </w:rPr>
      </w:pPr>
      <w:r>
        <w:br w:type="page"/>
      </w:r>
    </w:p>
    <w:p w14:paraId="3AA744C5" w14:textId="0833D05C" w:rsidR="000A5106" w:rsidRDefault="000A5106" w:rsidP="000A5106">
      <w:pPr>
        <w:pStyle w:val="CIVHeadline2"/>
        <w:numPr>
          <w:ilvl w:val="0"/>
          <w:numId w:val="0"/>
        </w:numPr>
        <w:ind w:left="576" w:hanging="576"/>
      </w:pPr>
      <w:r>
        <w:lastRenderedPageBreak/>
        <w:t>CONTEXT AND RELEVANCE</w:t>
      </w:r>
    </w:p>
    <w:p w14:paraId="2ACC1390" w14:textId="61B515F3" w:rsidR="008F3071" w:rsidRDefault="008F3071" w:rsidP="000A5106">
      <w:r>
        <w:t>Transport activity is a major contributor to pollution, significantly impacting air quality, human health, and climate change. A substantial portion of freight transport activity takes place in urban areas, where high population density and concentrated economic activity lead to high freight demand. The reliance on motorized vehicles powered by fossil fuels exacerbates climate change by emitting greenhouse gases, such as CO2. By addressing urban freight transport emissions, cities can enhance air quality and reduce carbon footprints.</w:t>
      </w:r>
    </w:p>
    <w:p w14:paraId="21380F38" w14:textId="7CFCC87F" w:rsidR="000A5106" w:rsidRDefault="000A5106" w:rsidP="000A5106">
      <w:r>
        <w:t xml:space="preserve">This indicator </w:t>
      </w:r>
      <w:r w:rsidR="004F0C6C">
        <w:t xml:space="preserve">is </w:t>
      </w:r>
      <w:r w:rsidR="007B67CD">
        <w:t xml:space="preserve">an estimation of the </w:t>
      </w:r>
      <w:r w:rsidR="006D094E">
        <w:t xml:space="preserve">share of zero-emissions (electric and hydrogen) </w:t>
      </w:r>
      <w:r w:rsidR="00462F3D">
        <w:t xml:space="preserve">freight vehicles </w:t>
      </w:r>
      <w:r w:rsidR="00076556">
        <w:t>among</w:t>
      </w:r>
      <w:r w:rsidR="006D094E">
        <w:t xml:space="preserve"> the</w:t>
      </w:r>
      <w:r w:rsidR="00462F3D">
        <w:t xml:space="preserve"> freight vehicl</w:t>
      </w:r>
      <w:r w:rsidR="00076556">
        <w:t>es registered</w:t>
      </w:r>
      <w:r w:rsidR="00D14D6D">
        <w:t xml:space="preserve"> in the</w:t>
      </w:r>
      <w:r w:rsidR="00076556">
        <w:t xml:space="preserve"> pilot city</w:t>
      </w:r>
      <w:r>
        <w:t xml:space="preserve">. </w:t>
      </w:r>
      <w:r w:rsidRPr="005603D3">
        <w:rPr>
          <w:b/>
          <w:bCs/>
        </w:rPr>
        <w:t xml:space="preserve">It is a relevant indicator when the policy action is aimed at </w:t>
      </w:r>
      <w:r w:rsidR="000B7EB5">
        <w:rPr>
          <w:b/>
          <w:bCs/>
        </w:rPr>
        <w:t xml:space="preserve">reducing the </w:t>
      </w:r>
      <w:r w:rsidR="00EF543F">
        <w:rPr>
          <w:b/>
          <w:bCs/>
        </w:rPr>
        <w:t xml:space="preserve">impact of urban </w:t>
      </w:r>
      <w:r w:rsidR="000B7EB5">
        <w:rPr>
          <w:b/>
          <w:bCs/>
        </w:rPr>
        <w:t>mobility and transport</w:t>
      </w:r>
      <w:r w:rsidR="00EF543F">
        <w:rPr>
          <w:b/>
          <w:bCs/>
        </w:rPr>
        <w:t xml:space="preserve"> on climate</w:t>
      </w:r>
      <w:r w:rsidR="00AF1F0C">
        <w:rPr>
          <w:b/>
          <w:bCs/>
        </w:rPr>
        <w:t xml:space="preserve">. </w:t>
      </w:r>
      <w:r w:rsidRPr="005603D3">
        <w:rPr>
          <w:b/>
          <w:bCs/>
        </w:rPr>
        <w:t xml:space="preserve">A successful action is reflected in a </w:t>
      </w:r>
      <w:r w:rsidR="006D094E">
        <w:rPr>
          <w:b/>
          <w:bCs/>
          <w:u w:val="single"/>
        </w:rPr>
        <w:t>HIGH</w:t>
      </w:r>
      <w:r w:rsidRPr="002C789F">
        <w:rPr>
          <w:b/>
          <w:bCs/>
          <w:u w:val="single"/>
        </w:rPr>
        <w:t>ER</w:t>
      </w:r>
      <w:r w:rsidRPr="005603D3">
        <w:rPr>
          <w:b/>
          <w:bCs/>
        </w:rPr>
        <w:t xml:space="preserve"> value of the indicator.</w:t>
      </w:r>
      <w:r>
        <w:t xml:space="preserve"> </w:t>
      </w:r>
      <w:r w:rsidR="00F921BB">
        <w:t>Since there is limited correlation between the place where a commercial vehicle is registered and where it is used, this indicator can be meaningful when the pilot area is a whole city but is insignificant when the pilot area is just part of an urban area.</w:t>
      </w:r>
    </w:p>
    <w:p w14:paraId="7EAC9216" w14:textId="16131E6F" w:rsidR="000A5106" w:rsidRDefault="008C4E04" w:rsidP="000A5106">
      <w:r>
        <w:t xml:space="preserve">  </w:t>
      </w:r>
    </w:p>
    <w:p w14:paraId="3D6D3F6B" w14:textId="77777777" w:rsidR="000A5106" w:rsidRPr="000A5106" w:rsidRDefault="000A5106" w:rsidP="000A5106">
      <w:pPr>
        <w:pStyle w:val="Heading1"/>
        <w:rPr>
          <w:rFonts w:ascii="Arial" w:eastAsia="MS Mincho" w:hAnsi="Arial"/>
          <w:color w:val="004494"/>
          <w:kern w:val="0"/>
          <w:sz w:val="28"/>
          <w:szCs w:val="24"/>
        </w:rPr>
      </w:pPr>
      <w:r w:rsidRPr="000A5106">
        <w:rPr>
          <w:rFonts w:ascii="Arial" w:eastAsia="MS Mincho" w:hAnsi="Arial"/>
          <w:color w:val="004494"/>
          <w:kern w:val="0"/>
          <w:sz w:val="28"/>
          <w:szCs w:val="24"/>
        </w:rPr>
        <w:t xml:space="preserve">DESCRIPTION </w:t>
      </w:r>
    </w:p>
    <w:p w14:paraId="3CF95EDB" w14:textId="386560CB" w:rsidR="000B7EB5" w:rsidRDefault="00876A3F" w:rsidP="00876A3F">
      <w:r>
        <w:t xml:space="preserve">The indicator is </w:t>
      </w:r>
      <w:r w:rsidR="00EF543F">
        <w:t xml:space="preserve">the </w:t>
      </w:r>
      <w:r w:rsidR="006D094E">
        <w:t>share of Battery Electric Vehicles (BEV) and Fuel Cells Vehicles (FCEV)</w:t>
      </w:r>
      <w:r w:rsidR="00076556">
        <w:t xml:space="preserve"> for freight transport</w:t>
      </w:r>
      <w:r w:rsidR="006D094E">
        <w:t xml:space="preserve"> out of the </w:t>
      </w:r>
      <w:r w:rsidR="00076556">
        <w:t>total</w:t>
      </w:r>
      <w:r w:rsidR="00462F3D">
        <w:t xml:space="preserve"> freight vehicles</w:t>
      </w:r>
      <w:r w:rsidR="006D094E">
        <w:t xml:space="preserve"> registered in the </w:t>
      </w:r>
      <w:r w:rsidR="00076556">
        <w:t>pilot city</w:t>
      </w:r>
      <w:r w:rsidR="006D094E">
        <w:t xml:space="preserve">. Being a share, the indicator is </w:t>
      </w:r>
      <w:r w:rsidR="006D094E" w:rsidRPr="006D094E">
        <w:rPr>
          <w:b/>
          <w:bCs/>
        </w:rPr>
        <w:t>dimensionless</w:t>
      </w:r>
      <w:r w:rsidR="003A7958">
        <w:t>.</w:t>
      </w:r>
    </w:p>
    <w:p w14:paraId="167B6B8D" w14:textId="77777777" w:rsidR="000B7EB5" w:rsidRDefault="000B7EB5" w:rsidP="000A5106"/>
    <w:p w14:paraId="77D25B8B" w14:textId="77777777" w:rsidR="000A5106" w:rsidRPr="001A1812" w:rsidRDefault="000A5106" w:rsidP="000A5106">
      <w:pPr>
        <w:pStyle w:val="Heading1"/>
        <w:rPr>
          <w:rFonts w:ascii="Arial" w:eastAsia="MS Mincho" w:hAnsi="Arial"/>
          <w:color w:val="004494"/>
          <w:kern w:val="0"/>
          <w:sz w:val="28"/>
          <w:szCs w:val="24"/>
        </w:rPr>
      </w:pPr>
      <w:r w:rsidRPr="001A1812">
        <w:rPr>
          <w:rFonts w:ascii="Arial" w:eastAsia="MS Mincho" w:hAnsi="Arial"/>
          <w:color w:val="004494"/>
          <w:kern w:val="0"/>
          <w:sz w:val="28"/>
          <w:szCs w:val="24"/>
        </w:rPr>
        <w:t>METHOD OF CALCULATION AND INPUTS</w:t>
      </w:r>
    </w:p>
    <w:p w14:paraId="5AC8A69C" w14:textId="72F05D99" w:rsidR="00544DD5" w:rsidRDefault="00421EE4" w:rsidP="00421EE4">
      <w:r>
        <w:t>This indicator’s method of calculation</w:t>
      </w:r>
      <w:r w:rsidR="00011A78">
        <w:t xml:space="preserve"> </w:t>
      </w:r>
      <w:r w:rsidR="006D094E">
        <w:t xml:space="preserve">consists of computing the share of </w:t>
      </w:r>
      <w:r>
        <w:t xml:space="preserve">freight </w:t>
      </w:r>
      <w:r w:rsidR="006D094E">
        <w:t>BE</w:t>
      </w:r>
      <w:r>
        <w:t>Vs</w:t>
      </w:r>
      <w:r w:rsidR="006D094E">
        <w:t xml:space="preserve"> and FCE</w:t>
      </w:r>
      <w:r>
        <w:t xml:space="preserve">Vs </w:t>
      </w:r>
      <w:r w:rsidR="006E3253">
        <w:t xml:space="preserve">using </w:t>
      </w:r>
      <w:r w:rsidRPr="00421EE4">
        <w:rPr>
          <w:b/>
          <w:bCs/>
        </w:rPr>
        <w:t>vehicle registration data</w:t>
      </w:r>
      <w:r w:rsidR="006E3253">
        <w:t xml:space="preserve">. </w:t>
      </w:r>
      <w:r w:rsidR="006E3253" w:rsidRPr="006A3C82">
        <w:rPr>
          <w:b/>
          <w:bCs/>
        </w:rPr>
        <w:t xml:space="preserve">The requirement for its application is that data on </w:t>
      </w:r>
      <w:r w:rsidR="00DF57A6">
        <w:rPr>
          <w:b/>
          <w:bCs/>
        </w:rPr>
        <w:t>vehicle</w:t>
      </w:r>
      <w:r w:rsidR="00D14D6D">
        <w:rPr>
          <w:b/>
          <w:bCs/>
        </w:rPr>
        <w:t xml:space="preserve"> </w:t>
      </w:r>
      <w:r w:rsidR="006E3253" w:rsidRPr="006A3C82">
        <w:rPr>
          <w:b/>
          <w:bCs/>
        </w:rPr>
        <w:t>regist</w:t>
      </w:r>
      <w:r w:rsidR="00DF57A6">
        <w:rPr>
          <w:b/>
          <w:bCs/>
        </w:rPr>
        <w:t>rations</w:t>
      </w:r>
      <w:r w:rsidR="006E3253" w:rsidRPr="006A3C82">
        <w:rPr>
          <w:b/>
          <w:bCs/>
        </w:rPr>
        <w:t xml:space="preserve"> is available at the required spatial </w:t>
      </w:r>
      <w:r w:rsidR="00DF57A6">
        <w:rPr>
          <w:b/>
          <w:bCs/>
        </w:rPr>
        <w:t xml:space="preserve">and temporal </w:t>
      </w:r>
      <w:r w:rsidR="006E3253" w:rsidRPr="006A3C82">
        <w:rPr>
          <w:b/>
          <w:bCs/>
        </w:rPr>
        <w:t>level</w:t>
      </w:r>
      <w:r w:rsidR="00DF57A6">
        <w:rPr>
          <w:b/>
          <w:bCs/>
        </w:rPr>
        <w:t xml:space="preserve"> of detail</w:t>
      </w:r>
      <w:r w:rsidR="006E3253">
        <w:t xml:space="preserve">. </w:t>
      </w:r>
      <w:r>
        <w:t>D</w:t>
      </w:r>
      <w:r w:rsidR="006E3253">
        <w:t xml:space="preserve">ata on </w:t>
      </w:r>
      <w:r>
        <w:t>vehicle registration</w:t>
      </w:r>
      <w:r w:rsidR="006E3253">
        <w:t xml:space="preserve"> </w:t>
      </w:r>
      <w:r w:rsidR="002D69F1">
        <w:t>may be</w:t>
      </w:r>
      <w:r w:rsidR="006E3253">
        <w:t xml:space="preserve"> published only at </w:t>
      </w:r>
      <w:r w:rsidR="006A3C82">
        <w:t xml:space="preserve">a </w:t>
      </w:r>
      <w:r w:rsidR="006E3253">
        <w:t xml:space="preserve">level of </w:t>
      </w:r>
      <w:r w:rsidR="006A3C82">
        <w:t xml:space="preserve">spatial </w:t>
      </w:r>
      <w:r w:rsidR="006E3253">
        <w:t xml:space="preserve">aggregation </w:t>
      </w:r>
      <w:r w:rsidR="006A3C82">
        <w:t xml:space="preserve">coarser than the pilot area </w:t>
      </w:r>
      <w:r w:rsidR="006E3253">
        <w:t>(</w:t>
      </w:r>
      <w:r w:rsidR="002D69F1">
        <w:t>e.g.,</w:t>
      </w:r>
      <w:r w:rsidR="006E3253">
        <w:t xml:space="preserve"> NUTS3 regions)</w:t>
      </w:r>
      <w:r w:rsidR="00F921BB">
        <w:t xml:space="preserve"> and for one period (e.g., at the end of the year)</w:t>
      </w:r>
      <w:r w:rsidR="006A3C82">
        <w:t>.</w:t>
      </w:r>
      <w:r w:rsidR="002D69F1">
        <w:t xml:space="preserve"> This issue </w:t>
      </w:r>
      <w:r w:rsidR="00D14D6D">
        <w:t>may be</w:t>
      </w:r>
      <w:r w:rsidR="002D69F1">
        <w:t xml:space="preserve"> especially relevant if the pilot is expected to last less than one year.</w:t>
      </w:r>
    </w:p>
    <w:p w14:paraId="46289673" w14:textId="77777777" w:rsidR="00421EE4" w:rsidRDefault="00421EE4" w:rsidP="00421EE4">
      <w:r w:rsidRPr="00514278">
        <w:rPr>
          <w:b/>
          <w:bCs/>
        </w:rPr>
        <w:t>The indicator should be computed exogenously</w:t>
      </w:r>
      <w:r>
        <w:t xml:space="preserve">, by applying the method described and then coded </w:t>
      </w:r>
      <w:r w:rsidRPr="00514278">
        <w:t>in the supporting tool</w:t>
      </w:r>
      <w:r>
        <w:t xml:space="preserve">. </w:t>
      </w:r>
    </w:p>
    <w:p w14:paraId="19B2AFB5" w14:textId="0264A4F1" w:rsidR="005A45CC" w:rsidRDefault="005A45CC">
      <w:pPr>
        <w:spacing w:before="0" w:after="0" w:line="240" w:lineRule="auto"/>
        <w:jc w:val="left"/>
      </w:pPr>
    </w:p>
    <w:tbl>
      <w:tblPr>
        <w:tblStyle w:val="GridTable4-Accent5"/>
        <w:tblW w:w="5000" w:type="pct"/>
        <w:tblLook w:val="0620" w:firstRow="1" w:lastRow="0" w:firstColumn="0" w:lastColumn="0" w:noHBand="1" w:noVBand="1"/>
      </w:tblPr>
      <w:tblGrid>
        <w:gridCol w:w="250"/>
        <w:gridCol w:w="5841"/>
        <w:gridCol w:w="1957"/>
        <w:gridCol w:w="1574"/>
      </w:tblGrid>
      <w:tr w:rsidR="00F73B7B" w14:paraId="13AB49C2" w14:textId="77777777" w:rsidTr="00F73B7B">
        <w:trPr>
          <w:cnfStyle w:val="100000000000" w:firstRow="1" w:lastRow="0" w:firstColumn="0" w:lastColumn="0" w:oddVBand="0" w:evenVBand="0" w:oddHBand="0" w:evenHBand="0" w:firstRowFirstColumn="0" w:firstRowLastColumn="0" w:lastRowFirstColumn="0" w:lastRowLastColumn="0"/>
        </w:trPr>
        <w:tc>
          <w:tcPr>
            <w:tcW w:w="130" w:type="pct"/>
          </w:tcPr>
          <w:p w14:paraId="5C5C2C0F" w14:textId="77777777" w:rsidR="00F73B7B" w:rsidRPr="00F60079" w:rsidRDefault="00F73B7B" w:rsidP="00CB7DAC"/>
        </w:tc>
        <w:tc>
          <w:tcPr>
            <w:tcW w:w="4870" w:type="pct"/>
            <w:gridSpan w:val="3"/>
          </w:tcPr>
          <w:p w14:paraId="0FBAFDE7" w14:textId="0555DF7F" w:rsidR="00F73B7B" w:rsidRDefault="00F73B7B" w:rsidP="00CB7DAC">
            <w:r w:rsidRPr="00F60079">
              <w:t>Method</w:t>
            </w:r>
          </w:p>
        </w:tc>
      </w:tr>
      <w:tr w:rsidR="00F73B7B" w:rsidRPr="00205692" w14:paraId="5080BA7F" w14:textId="77777777" w:rsidTr="00421EE4">
        <w:trPr>
          <w:trHeight w:val="588"/>
        </w:trPr>
        <w:tc>
          <w:tcPr>
            <w:tcW w:w="130" w:type="pct"/>
            <w:shd w:val="clear" w:color="auto" w:fill="4472C4" w:themeFill="accent5"/>
          </w:tcPr>
          <w:p w14:paraId="02B2F981" w14:textId="77777777" w:rsidR="00F73B7B" w:rsidRDefault="00F73B7B" w:rsidP="00F73B7B">
            <w:pPr>
              <w:jc w:val="left"/>
            </w:pPr>
          </w:p>
        </w:tc>
        <w:tc>
          <w:tcPr>
            <w:tcW w:w="3035" w:type="pct"/>
            <w:vAlign w:val="center"/>
          </w:tcPr>
          <w:p w14:paraId="1914ABC6" w14:textId="1AB3EC56" w:rsidR="00F73B7B" w:rsidRPr="00F73B7B" w:rsidRDefault="00200503" w:rsidP="00F73B7B">
            <w:pPr>
              <w:jc w:val="left"/>
              <w:rPr>
                <w:b/>
                <w:bCs/>
              </w:rPr>
            </w:pPr>
            <w:r>
              <w:rPr>
                <w:b/>
                <w:bCs/>
              </w:rPr>
              <w:t xml:space="preserve">Calculation of the </w:t>
            </w:r>
            <w:r w:rsidR="00887C64">
              <w:rPr>
                <w:b/>
                <w:bCs/>
              </w:rPr>
              <w:t xml:space="preserve">share of zero-emission </w:t>
            </w:r>
            <w:r w:rsidR="00421EE4">
              <w:rPr>
                <w:b/>
                <w:bCs/>
              </w:rPr>
              <w:t>freight</w:t>
            </w:r>
            <w:r w:rsidR="008E6627">
              <w:rPr>
                <w:b/>
                <w:bCs/>
              </w:rPr>
              <w:t xml:space="preserve"> vehicles </w:t>
            </w:r>
            <w:r>
              <w:rPr>
                <w:b/>
                <w:bCs/>
              </w:rPr>
              <w:t>using registration data</w:t>
            </w:r>
          </w:p>
        </w:tc>
        <w:tc>
          <w:tcPr>
            <w:tcW w:w="1017" w:type="pct"/>
            <w:tcBorders>
              <w:right w:val="single" w:sz="2" w:space="0" w:color="FFFFFF" w:themeColor="background1"/>
            </w:tcBorders>
            <w:tcMar>
              <w:left w:w="57" w:type="dxa"/>
              <w:right w:w="57" w:type="dxa"/>
            </w:tcMar>
            <w:vAlign w:val="center"/>
          </w:tcPr>
          <w:p w14:paraId="0FDB12DF" w14:textId="5151511B" w:rsidR="00F73B7B" w:rsidRPr="00205692" w:rsidRDefault="00F73B7B" w:rsidP="00F73B7B">
            <w:pPr>
              <w:jc w:val="right"/>
            </w:pPr>
            <w:r>
              <w:t>Significance</w:t>
            </w:r>
            <w:r w:rsidR="00AE33D4">
              <w:t xml:space="preserve">: </w:t>
            </w:r>
            <w:r w:rsidR="00421EE4">
              <w:rPr>
                <w:b/>
                <w:bCs/>
              </w:rPr>
              <w:t>0</w:t>
            </w:r>
            <w:r w:rsidR="00AE33D4" w:rsidRPr="00AE33D4">
              <w:rPr>
                <w:b/>
                <w:bCs/>
              </w:rPr>
              <w:t>.</w:t>
            </w:r>
            <w:r w:rsidR="00421EE4">
              <w:rPr>
                <w:b/>
                <w:bCs/>
              </w:rPr>
              <w:t>75</w:t>
            </w:r>
          </w:p>
        </w:tc>
        <w:tc>
          <w:tcPr>
            <w:tcW w:w="818" w:type="pct"/>
            <w:tcBorders>
              <w:left w:val="single" w:sz="2" w:space="0" w:color="FFFFFF" w:themeColor="background1"/>
            </w:tcBorders>
            <w:vAlign w:val="center"/>
          </w:tcPr>
          <w:p w14:paraId="490E9BED" w14:textId="016BDD70" w:rsidR="00F73B7B" w:rsidRPr="00205692" w:rsidRDefault="00421EE4" w:rsidP="00F73B7B">
            <w:pPr>
              <w:jc w:val="right"/>
            </w:pPr>
            <w:r w:rsidRPr="00205692">
              <w:rPr>
                <w:noProof/>
              </w:rPr>
              <w:drawing>
                <wp:inline distT="0" distB="0" distL="0" distR="0" wp14:anchorId="221AC338" wp14:editId="77BFF14A">
                  <wp:extent cx="711200" cy="337185"/>
                  <wp:effectExtent l="0" t="0" r="0" b="5715"/>
                  <wp:docPr id="878382138" name="Immagine 87838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41645" name=""/>
                          <pic:cNvPicPr/>
                        </pic:nvPicPr>
                        <pic:blipFill rotWithShape="1">
                          <a:blip r:embed="rId17"/>
                          <a:srcRect t="43712" r="20812" b="43415"/>
                          <a:stretch/>
                        </pic:blipFill>
                        <pic:spPr bwMode="auto">
                          <a:xfrm>
                            <a:off x="0" y="0"/>
                            <a:ext cx="712689" cy="337891"/>
                          </a:xfrm>
                          <a:prstGeom prst="rect">
                            <a:avLst/>
                          </a:prstGeom>
                          <a:ln>
                            <a:noFill/>
                          </a:ln>
                          <a:extLst>
                            <a:ext uri="{53640926-AAD7-44D8-BBD7-CCE9431645EC}">
                              <a14:shadowObscured xmlns:a14="http://schemas.microsoft.com/office/drawing/2010/main"/>
                            </a:ext>
                          </a:extLst>
                        </pic:spPr>
                      </pic:pic>
                    </a:graphicData>
                  </a:graphic>
                </wp:inline>
              </w:drawing>
            </w:r>
          </w:p>
        </w:tc>
      </w:tr>
      <w:tr w:rsidR="007F7738" w:rsidRPr="00205692" w14:paraId="0494AA50" w14:textId="77777777" w:rsidTr="00F7355B">
        <w:tc>
          <w:tcPr>
            <w:tcW w:w="130" w:type="pct"/>
            <w:shd w:val="clear" w:color="auto" w:fill="4472C4" w:themeFill="accent5"/>
          </w:tcPr>
          <w:p w14:paraId="6037A5BE" w14:textId="77777777" w:rsidR="007F7738" w:rsidRDefault="007F7738" w:rsidP="00F7355B">
            <w:pPr>
              <w:jc w:val="left"/>
            </w:pPr>
          </w:p>
        </w:tc>
        <w:tc>
          <w:tcPr>
            <w:tcW w:w="4870" w:type="pct"/>
            <w:gridSpan w:val="3"/>
            <w:vAlign w:val="center"/>
          </w:tcPr>
          <w:p w14:paraId="7E00AE96" w14:textId="77777777" w:rsidR="007F7738" w:rsidRPr="00435175" w:rsidRDefault="007F7738" w:rsidP="007F7738">
            <w:pPr>
              <w:rPr>
                <w:rFonts w:eastAsia="MS Mincho"/>
              </w:rPr>
            </w:pPr>
            <w:r w:rsidRPr="00E03C82">
              <w:rPr>
                <w:rFonts w:eastAsia="MS Mincho"/>
                <w:b/>
                <w:bCs/>
              </w:rPr>
              <w:t xml:space="preserve">The following information </w:t>
            </w:r>
            <w:r>
              <w:rPr>
                <w:rFonts w:eastAsia="MS Mincho"/>
                <w:b/>
                <w:bCs/>
              </w:rPr>
              <w:t>is needed</w:t>
            </w:r>
            <w:r>
              <w:rPr>
                <w:rFonts w:eastAsia="MS Mincho"/>
              </w:rPr>
              <w:t xml:space="preserve"> to compute the indicator:</w:t>
            </w:r>
          </w:p>
          <w:p w14:paraId="0CFC48AA" w14:textId="4D35B886" w:rsidR="00151DCA" w:rsidRPr="00421EE4" w:rsidRDefault="007F7738" w:rsidP="00A62872">
            <w:pPr>
              <w:pStyle w:val="ListParagraph"/>
              <w:numPr>
                <w:ilvl w:val="0"/>
                <w:numId w:val="30"/>
              </w:numPr>
              <w:rPr>
                <w:rFonts w:asciiTheme="majorHAnsi" w:hAnsiTheme="majorHAnsi" w:cstheme="majorHAnsi"/>
                <w:lang w:val="en-GB"/>
              </w:rPr>
            </w:pPr>
            <w:r w:rsidRPr="00421EE4">
              <w:rPr>
                <w:rFonts w:asciiTheme="majorHAnsi" w:hAnsiTheme="majorHAnsi" w:cstheme="majorHAnsi"/>
                <w:b/>
                <w:bCs/>
                <w:lang w:val="en-GB"/>
              </w:rPr>
              <w:t xml:space="preserve">The </w:t>
            </w:r>
            <w:r w:rsidR="00200503" w:rsidRPr="00421EE4">
              <w:rPr>
                <w:rFonts w:asciiTheme="majorHAnsi" w:hAnsiTheme="majorHAnsi" w:cstheme="majorHAnsi"/>
                <w:b/>
                <w:bCs/>
                <w:lang w:val="en-GB"/>
              </w:rPr>
              <w:t xml:space="preserve">number of </w:t>
            </w:r>
            <w:r w:rsidR="008E6627" w:rsidRPr="00421EE4">
              <w:rPr>
                <w:rFonts w:asciiTheme="majorHAnsi" w:hAnsiTheme="majorHAnsi" w:cstheme="majorHAnsi"/>
                <w:b/>
                <w:bCs/>
                <w:lang w:val="en-GB"/>
              </w:rPr>
              <w:t>commercial vehicles</w:t>
            </w:r>
            <w:r w:rsidR="00151DCA" w:rsidRPr="00421EE4">
              <w:rPr>
                <w:rFonts w:asciiTheme="majorHAnsi" w:hAnsiTheme="majorHAnsi" w:cstheme="majorHAnsi"/>
                <w:b/>
                <w:bCs/>
                <w:lang w:val="en-GB"/>
              </w:rPr>
              <w:t xml:space="preserve"> </w:t>
            </w:r>
            <w:r w:rsidR="000078E6" w:rsidRPr="00421EE4">
              <w:rPr>
                <w:rFonts w:asciiTheme="majorHAnsi" w:hAnsiTheme="majorHAnsi" w:cstheme="majorHAnsi"/>
                <w:lang w:val="en-GB"/>
              </w:rPr>
              <w:t xml:space="preserve">registered </w:t>
            </w:r>
            <w:r w:rsidR="002D7CB9" w:rsidRPr="00421EE4">
              <w:rPr>
                <w:rFonts w:asciiTheme="majorHAnsi" w:hAnsiTheme="majorHAnsi" w:cstheme="majorHAnsi"/>
                <w:lang w:val="en-GB"/>
              </w:rPr>
              <w:t>in the pilot area</w:t>
            </w:r>
            <w:r w:rsidR="00EB4040" w:rsidRPr="00421EE4">
              <w:rPr>
                <w:rFonts w:asciiTheme="majorHAnsi" w:hAnsiTheme="majorHAnsi" w:cstheme="majorHAnsi"/>
                <w:lang w:val="en-GB"/>
              </w:rPr>
              <w:t xml:space="preserve"> </w:t>
            </w:r>
            <w:r w:rsidR="00EB4040" w:rsidRPr="00D14D6D">
              <w:rPr>
                <w:rFonts w:asciiTheme="majorHAnsi" w:hAnsiTheme="majorHAnsi" w:cstheme="majorHAnsi"/>
                <w:b/>
                <w:bCs/>
                <w:lang w:val="en-GB"/>
              </w:rPr>
              <w:t>by fuel technology</w:t>
            </w:r>
            <w:r w:rsidR="002D69F1">
              <w:rPr>
                <w:rFonts w:asciiTheme="majorHAnsi" w:hAnsiTheme="majorHAnsi" w:cstheme="majorHAnsi"/>
                <w:lang w:val="en-GB"/>
              </w:rPr>
              <w:t xml:space="preserve"> at the latest available date</w:t>
            </w:r>
          </w:p>
          <w:p w14:paraId="5E0F1B3C" w14:textId="2CFF529B" w:rsidR="007F7738" w:rsidRDefault="007F7738" w:rsidP="007F7738">
            <w:r>
              <w:t xml:space="preserve">The </w:t>
            </w:r>
            <w:r w:rsidRPr="00907D99">
              <w:t>experiment</w:t>
            </w:r>
            <w:r>
              <w:t xml:space="preserve"> would result in a modification of the </w:t>
            </w:r>
            <w:r w:rsidR="00DA7DF9">
              <w:t xml:space="preserve">share of </w:t>
            </w:r>
            <w:r w:rsidR="00421EE4">
              <w:t xml:space="preserve">fuel </w:t>
            </w:r>
            <w:r w:rsidR="00DA7DF9">
              <w:t>technologies</w:t>
            </w:r>
            <w:r w:rsidR="00EB4040">
              <w:t xml:space="preserve"> </w:t>
            </w:r>
            <w:r w:rsidR="00DA7DF9">
              <w:t xml:space="preserve">in </w:t>
            </w:r>
            <w:r w:rsidR="00EB4040">
              <w:t xml:space="preserve">the registered </w:t>
            </w:r>
            <w:r w:rsidR="008E6627">
              <w:t>commercial vehicles</w:t>
            </w:r>
            <w:r>
              <w:t>.</w:t>
            </w:r>
          </w:p>
        </w:tc>
      </w:tr>
      <w:tr w:rsidR="00F73B7B" w:rsidRPr="00205692" w14:paraId="5566C2A9" w14:textId="77777777" w:rsidTr="00F73B7B">
        <w:tc>
          <w:tcPr>
            <w:tcW w:w="130" w:type="pct"/>
            <w:shd w:val="clear" w:color="auto" w:fill="4472C4" w:themeFill="accent5"/>
          </w:tcPr>
          <w:p w14:paraId="5501A92F" w14:textId="77777777" w:rsidR="00F73B7B" w:rsidRDefault="00F73B7B" w:rsidP="00CB7DAC">
            <w:pPr>
              <w:jc w:val="left"/>
            </w:pPr>
          </w:p>
        </w:tc>
        <w:tc>
          <w:tcPr>
            <w:tcW w:w="4870" w:type="pct"/>
            <w:gridSpan w:val="3"/>
            <w:vAlign w:val="center"/>
          </w:tcPr>
          <w:p w14:paraId="50DA1781" w14:textId="77777777" w:rsidR="00C76061" w:rsidRPr="00F25EC6" w:rsidRDefault="00C76061" w:rsidP="00C76061">
            <w:pPr>
              <w:pStyle w:val="CIVLeadText"/>
              <w:rPr>
                <w:sz w:val="24"/>
              </w:rPr>
            </w:pPr>
            <w:r w:rsidRPr="00F25EC6">
              <w:rPr>
                <w:sz w:val="24"/>
              </w:rPr>
              <w:t>METHOD OF CALCULATION</w:t>
            </w:r>
          </w:p>
          <w:p w14:paraId="59C485BB" w14:textId="4F3FCBB3" w:rsidR="00C76061" w:rsidRDefault="00446362" w:rsidP="00C76061">
            <w:pPr>
              <w:keepNext/>
              <w:jc w:val="left"/>
            </w:pPr>
            <w:r>
              <w:lastRenderedPageBreak/>
              <w:t>T</w:t>
            </w:r>
            <w:r w:rsidR="00C76061">
              <w:t xml:space="preserve">he indicator </w:t>
            </w:r>
            <w:r w:rsidR="006C484B">
              <w:t xml:space="preserve">should be </w:t>
            </w:r>
            <w:r w:rsidR="00C76061">
              <w:t xml:space="preserve">computed </w:t>
            </w:r>
            <w:r w:rsidR="006C484B" w:rsidRPr="006C484B">
              <w:rPr>
                <w:b/>
                <w:bCs/>
              </w:rPr>
              <w:t>exogenously</w:t>
            </w:r>
            <w:r w:rsidR="006C484B">
              <w:t xml:space="preserve"> </w:t>
            </w:r>
            <w:r w:rsidR="00C76061">
              <w:t>according to the following steps:</w:t>
            </w:r>
          </w:p>
          <w:p w14:paraId="634B36EA" w14:textId="51AC40AD" w:rsidR="00C76061" w:rsidRDefault="00421EE4" w:rsidP="00C76061">
            <w:pPr>
              <w:pStyle w:val="ListParagraph"/>
              <w:keepNext/>
              <w:numPr>
                <w:ilvl w:val="0"/>
                <w:numId w:val="28"/>
              </w:numPr>
              <w:spacing w:before="240"/>
              <w:ind w:left="714" w:hanging="357"/>
              <w:rPr>
                <w:rFonts w:asciiTheme="majorHAnsi" w:hAnsiTheme="majorHAnsi" w:cstheme="majorHAnsi"/>
                <w:lang w:val="en-GB"/>
              </w:rPr>
            </w:pPr>
            <w:r>
              <w:rPr>
                <w:rFonts w:asciiTheme="majorHAnsi" w:hAnsiTheme="majorHAnsi" w:cstheme="majorHAnsi"/>
                <w:b/>
                <w:bCs/>
                <w:lang w:val="en-GB"/>
              </w:rPr>
              <w:t>Retrieval</w:t>
            </w:r>
            <w:r w:rsidR="00EB4040">
              <w:rPr>
                <w:rFonts w:asciiTheme="majorHAnsi" w:hAnsiTheme="majorHAnsi" w:cstheme="majorHAnsi"/>
                <w:b/>
                <w:bCs/>
                <w:lang w:val="en-GB"/>
              </w:rPr>
              <w:t xml:space="preserve"> of the number of registered </w:t>
            </w:r>
            <w:r w:rsidR="008E6627">
              <w:rPr>
                <w:rFonts w:asciiTheme="majorHAnsi" w:hAnsiTheme="majorHAnsi" w:cstheme="majorHAnsi"/>
                <w:b/>
                <w:bCs/>
                <w:lang w:val="en-GB"/>
              </w:rPr>
              <w:t>commercial vehicles</w:t>
            </w:r>
            <w:r w:rsidR="00EB4040">
              <w:rPr>
                <w:rFonts w:asciiTheme="majorHAnsi" w:hAnsiTheme="majorHAnsi" w:cstheme="majorHAnsi"/>
                <w:b/>
                <w:bCs/>
                <w:lang w:val="en-GB"/>
              </w:rPr>
              <w:t xml:space="preserve"> in the pilot area</w:t>
            </w:r>
            <w:r>
              <w:rPr>
                <w:rFonts w:asciiTheme="majorHAnsi" w:hAnsiTheme="majorHAnsi" w:cstheme="majorHAnsi"/>
                <w:b/>
                <w:bCs/>
                <w:lang w:val="en-GB"/>
              </w:rPr>
              <w:t xml:space="preserve"> </w:t>
            </w:r>
            <w:r>
              <w:rPr>
                <w:rFonts w:asciiTheme="majorHAnsi" w:hAnsiTheme="majorHAnsi" w:cstheme="majorHAnsi"/>
                <w:lang w:val="en-GB"/>
              </w:rPr>
              <w:t>at the latest available date and</w:t>
            </w:r>
            <w:r w:rsidR="00DA7DF9">
              <w:rPr>
                <w:rFonts w:asciiTheme="majorHAnsi" w:hAnsiTheme="majorHAnsi" w:cstheme="majorHAnsi"/>
                <w:lang w:val="en-GB"/>
              </w:rPr>
              <w:t xml:space="preserve"> </w:t>
            </w:r>
            <w:r w:rsidR="00EB4040">
              <w:rPr>
                <w:rFonts w:asciiTheme="majorHAnsi" w:hAnsiTheme="majorHAnsi" w:cstheme="majorHAnsi"/>
                <w:lang w:val="en-GB"/>
              </w:rPr>
              <w:t>classified according to fuel technology</w:t>
            </w:r>
            <w:r w:rsidR="00446362">
              <w:rPr>
                <w:rFonts w:asciiTheme="majorHAnsi" w:hAnsiTheme="majorHAnsi" w:cstheme="majorHAnsi"/>
                <w:b/>
                <w:bCs/>
                <w:lang w:val="en-GB"/>
              </w:rPr>
              <w:t xml:space="preserve">. </w:t>
            </w:r>
          </w:p>
          <w:p w14:paraId="3006851B" w14:textId="77777777" w:rsidR="006C484B" w:rsidRPr="00C76061" w:rsidRDefault="006C484B" w:rsidP="006C484B">
            <w:pPr>
              <w:pStyle w:val="ListParagraph"/>
              <w:keepNext/>
              <w:spacing w:before="240"/>
              <w:ind w:left="714"/>
              <w:rPr>
                <w:rFonts w:asciiTheme="majorHAnsi" w:hAnsiTheme="majorHAnsi" w:cstheme="majorHAnsi"/>
                <w:lang w:val="en-GB"/>
              </w:rPr>
            </w:pPr>
          </w:p>
          <w:p w14:paraId="7403EB4C" w14:textId="6A69E2BB" w:rsidR="00C76061" w:rsidRPr="002346EC" w:rsidRDefault="00EB4040" w:rsidP="002346EC">
            <w:pPr>
              <w:pStyle w:val="ListParagraph"/>
              <w:keepNext/>
              <w:numPr>
                <w:ilvl w:val="0"/>
                <w:numId w:val="28"/>
              </w:numPr>
              <w:spacing w:before="240"/>
              <w:ind w:left="714" w:hanging="357"/>
              <w:rPr>
                <w:rFonts w:asciiTheme="majorHAnsi" w:hAnsiTheme="majorHAnsi" w:cstheme="majorHAnsi"/>
                <w:lang w:val="en-GB"/>
              </w:rPr>
            </w:pPr>
            <w:r>
              <w:rPr>
                <w:rFonts w:asciiTheme="majorHAnsi" w:hAnsiTheme="majorHAnsi" w:cstheme="majorHAnsi"/>
                <w:b/>
                <w:bCs/>
                <w:lang w:val="en-GB"/>
              </w:rPr>
              <w:t>E</w:t>
            </w:r>
            <w:r w:rsidR="005B53E8">
              <w:rPr>
                <w:rFonts w:asciiTheme="majorHAnsi" w:hAnsiTheme="majorHAnsi" w:cstheme="majorHAnsi"/>
                <w:b/>
                <w:bCs/>
                <w:lang w:val="en-GB"/>
              </w:rPr>
              <w:t>stimation of the indicator</w:t>
            </w:r>
            <w:r w:rsidR="00B45F6F">
              <w:rPr>
                <w:rFonts w:asciiTheme="majorHAnsi" w:hAnsiTheme="majorHAnsi" w:cstheme="majorHAnsi"/>
                <w:lang w:val="en-GB"/>
              </w:rPr>
              <w:t xml:space="preserve"> </w:t>
            </w:r>
            <w:r w:rsidR="005B53E8">
              <w:rPr>
                <w:rFonts w:asciiTheme="majorHAnsi" w:hAnsiTheme="majorHAnsi" w:cstheme="majorHAnsi"/>
                <w:lang w:val="en-GB"/>
              </w:rPr>
              <w:t>(see the following equation).</w:t>
            </w:r>
          </w:p>
        </w:tc>
      </w:tr>
      <w:tr w:rsidR="00435175" w:rsidRPr="00205692" w14:paraId="75B8B96A" w14:textId="77777777" w:rsidTr="00F73B7B">
        <w:tc>
          <w:tcPr>
            <w:tcW w:w="130" w:type="pct"/>
            <w:shd w:val="clear" w:color="auto" w:fill="4472C4" w:themeFill="accent5"/>
          </w:tcPr>
          <w:p w14:paraId="2FCE4CA0" w14:textId="77777777" w:rsidR="00435175" w:rsidRDefault="00435175" w:rsidP="00CB7DAC">
            <w:pPr>
              <w:jc w:val="left"/>
            </w:pPr>
          </w:p>
        </w:tc>
        <w:tc>
          <w:tcPr>
            <w:tcW w:w="4870" w:type="pct"/>
            <w:gridSpan w:val="3"/>
            <w:vAlign w:val="center"/>
          </w:tcPr>
          <w:p w14:paraId="1230F600" w14:textId="1191A13A" w:rsidR="00C76061" w:rsidRPr="00F25EC6" w:rsidRDefault="00C76061" w:rsidP="005B53E8">
            <w:pPr>
              <w:pStyle w:val="CIVLeadText"/>
              <w:keepNext/>
              <w:rPr>
                <w:sz w:val="24"/>
              </w:rPr>
            </w:pPr>
            <w:r>
              <w:rPr>
                <w:sz w:val="24"/>
              </w:rPr>
              <w:t>EQUATIONS</w:t>
            </w:r>
          </w:p>
          <w:p w14:paraId="659C4B08" w14:textId="272B78E5" w:rsidR="00A908FD" w:rsidRDefault="00EB4040" w:rsidP="00C44B25">
            <w:pPr>
              <w:keepNext/>
              <w:jc w:val="left"/>
            </w:pPr>
            <w:r>
              <w:rPr>
                <w:iCs/>
              </w:rPr>
              <w:t xml:space="preserve">The value of the indicator </w:t>
            </w:r>
            <w:r w:rsidR="005B53E8">
              <w:t>should be computed as</w:t>
            </w:r>
            <w:r w:rsidR="00A908FD">
              <w:t>:</w:t>
            </w:r>
          </w:p>
          <w:p w14:paraId="274662E2" w14:textId="70E17C66" w:rsidR="00C76061" w:rsidRPr="00E742A6" w:rsidRDefault="00EB4040" w:rsidP="00E03C82">
            <w:pPr>
              <w:rPr>
                <w:b/>
              </w:rPr>
            </w:pPr>
            <m:oMathPara>
              <m:oMath>
                <m:r>
                  <m:rPr>
                    <m:sty m:val="bi"/>
                  </m:rPr>
                  <w:rPr>
                    <w:rFonts w:ascii="Cambria Math" w:hAnsi="Cambria Math"/>
                  </w:rPr>
                  <m:t>ZrEmTruckSh=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Reg</m:t>
                        </m:r>
                        <m:r>
                          <m:rPr>
                            <m:sty m:val="bi"/>
                          </m:rPr>
                          <w:rPr>
                            <w:rFonts w:ascii="Cambria Math" w:hAnsi="Cambria Math"/>
                          </w:rPr>
                          <m:t>Truck</m:t>
                        </m:r>
                      </m:e>
                      <m:sup>
                        <m:r>
                          <m:rPr>
                            <m:sty m:val="bi"/>
                          </m:rPr>
                          <w:rPr>
                            <w:rFonts w:ascii="Cambria Math" w:hAnsi="Cambria Math"/>
                          </w:rPr>
                          <m:t>&lt;BEV&gt;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Reg</m:t>
                        </m:r>
                        <m:r>
                          <m:rPr>
                            <m:sty m:val="bi"/>
                          </m:rPr>
                          <w:rPr>
                            <w:rFonts w:ascii="Cambria Math" w:hAnsi="Cambria Math"/>
                          </w:rPr>
                          <m:t>Truck</m:t>
                        </m:r>
                      </m:e>
                      <m:sup>
                        <m:r>
                          <m:rPr>
                            <m:sty m:val="bi"/>
                          </m:rPr>
                          <w:rPr>
                            <w:rFonts w:ascii="Cambria Math" w:hAnsi="Cambria Math"/>
                          </w:rPr>
                          <m:t>&lt;FCEV&gt;</m:t>
                        </m:r>
                      </m:sup>
                    </m:sSup>
                  </m:num>
                  <m:den>
                    <m:nary>
                      <m:naryPr>
                        <m:chr m:val="∑"/>
                        <m:limLoc m:val="undOvr"/>
                        <m:supHide m:val="1"/>
                        <m:ctrlPr>
                          <w:rPr>
                            <w:rFonts w:ascii="Cambria Math" w:hAnsi="Cambria Math"/>
                            <w:b/>
                            <w:i/>
                          </w:rPr>
                        </m:ctrlPr>
                      </m:naryPr>
                      <m:sub>
                        <m:r>
                          <m:rPr>
                            <m:sty m:val="bi"/>
                          </m:rPr>
                          <w:rPr>
                            <w:rFonts w:ascii="Cambria Math" w:hAnsi="Cambria Math"/>
                          </w:rPr>
                          <m:t>f</m:t>
                        </m:r>
                      </m:sub>
                      <m:sup/>
                      <m:e>
                        <m:sSup>
                          <m:sSupPr>
                            <m:ctrlPr>
                              <w:rPr>
                                <w:rFonts w:ascii="Cambria Math" w:hAnsi="Cambria Math"/>
                                <w:b/>
                                <w:i/>
                              </w:rPr>
                            </m:ctrlPr>
                          </m:sSupPr>
                          <m:e>
                            <m:r>
                              <m:rPr>
                                <m:sty m:val="bi"/>
                              </m:rPr>
                              <w:rPr>
                                <w:rFonts w:ascii="Cambria Math" w:hAnsi="Cambria Math"/>
                              </w:rPr>
                              <m:t>Reg</m:t>
                            </m:r>
                            <m:r>
                              <m:rPr>
                                <m:sty m:val="bi"/>
                              </m:rPr>
                              <w:rPr>
                                <w:rFonts w:ascii="Cambria Math" w:hAnsi="Cambria Math"/>
                              </w:rPr>
                              <m:t>Truck</m:t>
                            </m:r>
                          </m:e>
                          <m:sup>
                            <m:r>
                              <m:rPr>
                                <m:sty m:val="bi"/>
                              </m:rPr>
                              <w:rPr>
                                <w:rFonts w:ascii="Cambria Math" w:hAnsi="Cambria Math"/>
                              </w:rPr>
                              <m:t>f</m:t>
                            </m:r>
                          </m:sup>
                        </m:sSup>
                      </m:e>
                    </m:nary>
                  </m:den>
                </m:f>
              </m:oMath>
            </m:oMathPara>
          </w:p>
          <w:p w14:paraId="72FC6D54" w14:textId="77777777" w:rsidR="00E742A6" w:rsidRPr="00E742A6" w:rsidRDefault="00E742A6" w:rsidP="00E03C82">
            <w:pPr>
              <w:rPr>
                <w:bCs/>
              </w:rPr>
            </w:pPr>
            <w:r w:rsidRPr="00E742A6">
              <w:rPr>
                <w:bCs/>
              </w:rPr>
              <w:t xml:space="preserve">Where: </w:t>
            </w:r>
          </w:p>
          <w:p w14:paraId="35DE68FA" w14:textId="08B918A9" w:rsidR="00E742A6" w:rsidRPr="005C4E2B" w:rsidRDefault="00A67E12" w:rsidP="00E03C82">
            <w:pPr>
              <w:rPr>
                <w:bCs/>
                <w:i/>
                <w:iCs/>
              </w:rPr>
            </w:pPr>
            <m:oMath>
              <m:sSup>
                <m:sSupPr>
                  <m:ctrlPr>
                    <w:rPr>
                      <w:rFonts w:ascii="Cambria Math" w:hAnsi="Cambria Math"/>
                      <w:bCs/>
                      <w:i/>
                    </w:rPr>
                  </m:ctrlPr>
                </m:sSupPr>
                <m:e>
                  <m:r>
                    <w:rPr>
                      <w:rFonts w:ascii="Cambria Math" w:hAnsi="Cambria Math"/>
                    </w:rPr>
                    <m:t>Reg</m:t>
                  </m:r>
                  <m:r>
                    <w:rPr>
                      <w:rFonts w:ascii="Cambria Math" w:hAnsi="Cambria Math"/>
                    </w:rPr>
                    <m:t>Truck</m:t>
                  </m:r>
                </m:e>
                <m:sup>
                  <m:r>
                    <w:rPr>
                      <w:rFonts w:ascii="Cambria Math" w:hAnsi="Cambria Math"/>
                    </w:rPr>
                    <m:t>f</m:t>
                  </m:r>
                </m:sup>
              </m:sSup>
            </m:oMath>
            <w:r w:rsidR="006F4E1A" w:rsidRPr="008C233D">
              <w:rPr>
                <w:bCs/>
              </w:rPr>
              <w:t xml:space="preserve"> </w:t>
            </w:r>
            <w:r w:rsidR="00E742A6" w:rsidRPr="005C4E2B">
              <w:rPr>
                <w:bCs/>
              </w:rPr>
              <w:t xml:space="preserve">= </w:t>
            </w:r>
            <w:r w:rsidR="00C627B5">
              <w:rPr>
                <w:bCs/>
              </w:rPr>
              <w:t xml:space="preserve">Number of </w:t>
            </w:r>
            <w:r w:rsidR="008E6627">
              <w:rPr>
                <w:bCs/>
              </w:rPr>
              <w:t>commercial vehicles</w:t>
            </w:r>
            <w:r w:rsidR="00C627B5">
              <w:rPr>
                <w:bCs/>
              </w:rPr>
              <w:t xml:space="preserve"> </w:t>
            </w:r>
            <w:r>
              <w:rPr>
                <w:bCs/>
              </w:rPr>
              <w:t xml:space="preserve">registered in the pilot city with </w:t>
            </w:r>
            <w:r w:rsidR="00C627B5">
              <w:rPr>
                <w:bCs/>
              </w:rPr>
              <w:t xml:space="preserve">fuel technology </w:t>
            </w:r>
            <w:r w:rsidR="00C627B5">
              <w:rPr>
                <w:bCs/>
                <w:i/>
                <w:iCs/>
              </w:rPr>
              <w:t>f</w:t>
            </w:r>
            <w:r w:rsidR="00386308">
              <w:rPr>
                <w:bCs/>
              </w:rPr>
              <w:t xml:space="preserve"> </w:t>
            </w:r>
            <w:r>
              <w:rPr>
                <w:bCs/>
              </w:rPr>
              <w:t xml:space="preserve"> </w:t>
            </w:r>
          </w:p>
          <w:p w14:paraId="08196F53" w14:textId="2838086F" w:rsidR="005C4E2B" w:rsidRDefault="00A67E12" w:rsidP="005C4E2B">
            <w:pPr>
              <w:jc w:val="left"/>
              <w:rPr>
                <w:bCs/>
                <w:iCs/>
              </w:rPr>
            </w:pPr>
            <m:oMath>
              <m:sSup>
                <m:sSupPr>
                  <m:ctrlPr>
                    <w:rPr>
                      <w:rFonts w:ascii="Cambria Math" w:hAnsi="Cambria Math"/>
                      <w:bCs/>
                      <w:i/>
                    </w:rPr>
                  </m:ctrlPr>
                </m:sSupPr>
                <m:e>
                  <m:r>
                    <w:rPr>
                      <w:rFonts w:ascii="Cambria Math" w:hAnsi="Cambria Math"/>
                    </w:rPr>
                    <m:t>RegTruck</m:t>
                  </m:r>
                </m:e>
                <m:sup>
                  <m:r>
                    <w:rPr>
                      <w:rFonts w:ascii="Cambria Math" w:hAnsi="Cambria Math"/>
                    </w:rPr>
                    <m:t>&lt;BEV&gt;</m:t>
                  </m:r>
                </m:sup>
              </m:sSup>
            </m:oMath>
            <w:r w:rsidR="005C4E2B" w:rsidRPr="005C4E2B">
              <w:rPr>
                <w:bCs/>
                <w:i/>
              </w:rPr>
              <w:t>=</w:t>
            </w:r>
            <w:r w:rsidR="005C4E2B" w:rsidRPr="005C4E2B">
              <w:rPr>
                <w:bCs/>
                <w:iCs/>
              </w:rPr>
              <w:t xml:space="preserve"> </w:t>
            </w:r>
            <w:r w:rsidR="00C627B5">
              <w:rPr>
                <w:bCs/>
              </w:rPr>
              <w:t xml:space="preserve">Number of Battery Electric </w:t>
            </w:r>
            <w:r w:rsidR="008E6627">
              <w:rPr>
                <w:bCs/>
              </w:rPr>
              <w:t>commercial vehicles</w:t>
            </w:r>
            <w:r w:rsidR="00C627B5">
              <w:rPr>
                <w:bCs/>
              </w:rPr>
              <w:t xml:space="preserve"> </w:t>
            </w:r>
            <w:r>
              <w:rPr>
                <w:bCs/>
              </w:rPr>
              <w:t>registered in the pilot city</w:t>
            </w:r>
          </w:p>
          <w:p w14:paraId="185E5392" w14:textId="467A34C0" w:rsidR="00675F3F" w:rsidRPr="00DB1B46" w:rsidRDefault="00A67E12" w:rsidP="008E6627">
            <w:pPr>
              <w:jc w:val="left"/>
              <w:rPr>
                <w:bCs/>
                <w:i/>
                <w:iCs/>
              </w:rPr>
            </w:pPr>
            <m:oMath>
              <m:sSup>
                <m:sSupPr>
                  <m:ctrlPr>
                    <w:rPr>
                      <w:rFonts w:ascii="Cambria Math" w:hAnsi="Cambria Math"/>
                      <w:bCs/>
                      <w:i/>
                    </w:rPr>
                  </m:ctrlPr>
                </m:sSupPr>
                <m:e>
                  <m:r>
                    <w:rPr>
                      <w:rFonts w:ascii="Cambria Math" w:hAnsi="Cambria Math"/>
                    </w:rPr>
                    <m:t>RegTruck</m:t>
                  </m:r>
                </m:e>
                <m:sup>
                  <m:r>
                    <w:rPr>
                      <w:rFonts w:ascii="Cambria Math" w:hAnsi="Cambria Math"/>
                    </w:rPr>
                    <m:t>&lt;FCEV&gt;</m:t>
                  </m:r>
                </m:sup>
              </m:sSup>
            </m:oMath>
            <w:r w:rsidR="00C627B5" w:rsidRPr="005C4E2B">
              <w:rPr>
                <w:bCs/>
                <w:i/>
              </w:rPr>
              <w:t>=</w:t>
            </w:r>
            <w:r w:rsidR="00C627B5" w:rsidRPr="005C4E2B">
              <w:rPr>
                <w:bCs/>
                <w:iCs/>
              </w:rPr>
              <w:t xml:space="preserve"> </w:t>
            </w:r>
            <w:r w:rsidR="00C627B5">
              <w:rPr>
                <w:bCs/>
              </w:rPr>
              <w:t xml:space="preserve">Number of Fuel Cells </w:t>
            </w:r>
            <w:r w:rsidR="008E6627">
              <w:rPr>
                <w:bCs/>
              </w:rPr>
              <w:t>commercial vehicles</w:t>
            </w:r>
            <w:r>
              <w:rPr>
                <w:bCs/>
              </w:rPr>
              <w:t xml:space="preserve"> registered in the pilot city</w:t>
            </w:r>
          </w:p>
        </w:tc>
      </w:tr>
    </w:tbl>
    <w:p w14:paraId="490DECF3" w14:textId="77777777" w:rsidR="00CD6E7E" w:rsidRDefault="00CD6E7E">
      <w:pPr>
        <w:spacing w:before="0" w:after="0" w:line="240" w:lineRule="auto"/>
        <w:jc w:val="left"/>
      </w:pPr>
    </w:p>
    <w:p w14:paraId="213B33E9" w14:textId="77777777" w:rsidR="00C87F87" w:rsidRPr="00AF0D7E" w:rsidRDefault="00C87F87" w:rsidP="00C87F87"/>
    <w:p w14:paraId="61543876" w14:textId="7706F229" w:rsidR="002D69F1" w:rsidRPr="002D69F1" w:rsidRDefault="00B744E7" w:rsidP="002D69F1">
      <w:pPr>
        <w:pStyle w:val="Heading1"/>
        <w:rPr>
          <w:rFonts w:ascii="Arial" w:eastAsia="MS Mincho" w:hAnsi="Arial"/>
          <w:color w:val="004494"/>
          <w:kern w:val="0"/>
          <w:sz w:val="28"/>
          <w:szCs w:val="24"/>
        </w:rPr>
      </w:pPr>
      <w:r>
        <w:rPr>
          <w:rFonts w:ascii="Arial" w:eastAsia="MS Mincho" w:hAnsi="Arial"/>
          <w:color w:val="004494"/>
          <w:kern w:val="0"/>
          <w:sz w:val="28"/>
          <w:szCs w:val="24"/>
        </w:rPr>
        <w:t>ALTERNATIVE INDICATORS</w:t>
      </w:r>
    </w:p>
    <w:p w14:paraId="105DECF4" w14:textId="3E2C7036" w:rsidR="002536DA" w:rsidRDefault="003E24C1" w:rsidP="000C11FA">
      <w:r w:rsidRPr="003E24C1">
        <w:t xml:space="preserve">This indicator captures the overall penetration of zero-emission vehicles in the commercial vehicle fleet. However, it does not reflect the pace at which zero-emission vehicles are entering the fleet. This latter aspect is measured by the indicator </w:t>
      </w:r>
      <w:r w:rsidRPr="002536DA">
        <w:rPr>
          <w:b/>
          <w:bCs/>
        </w:rPr>
        <w:t>ENV_DC_AFV1</w:t>
      </w:r>
      <w:r w:rsidRPr="003E24C1">
        <w:t xml:space="preserve">, which has the same form but is computed based </w:t>
      </w:r>
      <w:r w:rsidRPr="002536DA">
        <w:rPr>
          <w:b/>
          <w:bCs/>
        </w:rPr>
        <w:t>on new registrations</w:t>
      </w:r>
      <w:r w:rsidRPr="003E24C1">
        <w:t xml:space="preserve"> of commercial vehicles rather than the total existing fleet.</w:t>
      </w:r>
      <w:r w:rsidR="002536DA">
        <w:t xml:space="preserve"> When </w:t>
      </w:r>
      <w:r w:rsidR="002536DA" w:rsidRPr="002536DA">
        <w:t>assess</w:t>
      </w:r>
      <w:r w:rsidR="002536DA">
        <w:t>ing</w:t>
      </w:r>
      <w:r w:rsidR="002536DA" w:rsidRPr="002536DA">
        <w:t xml:space="preserve"> short-term pilot</w:t>
      </w:r>
      <w:r w:rsidR="002536DA">
        <w:t>s</w:t>
      </w:r>
      <w:r w:rsidR="002536DA" w:rsidRPr="002536DA">
        <w:t>, it may be more insightful to consider only new registrations</w:t>
      </w:r>
      <w:r w:rsidR="002536DA">
        <w:t>, as t</w:t>
      </w:r>
      <w:r w:rsidR="002536DA" w:rsidRPr="002536DA">
        <w:t xml:space="preserve">his approach allows for a clearer evaluation of the </w:t>
      </w:r>
      <w:r w:rsidR="00A67E12">
        <w:t>intervention’s</w:t>
      </w:r>
      <w:r w:rsidR="002536DA" w:rsidRPr="002536DA">
        <w:t xml:space="preserve"> immediate effect</w:t>
      </w:r>
      <w:r w:rsidR="002536DA">
        <w:t xml:space="preserve">s on vehicle </w:t>
      </w:r>
      <w:r w:rsidR="00A67E12">
        <w:t>acquisition</w:t>
      </w:r>
      <w:r w:rsidR="002536DA">
        <w:t xml:space="preserve"> choices.</w:t>
      </w:r>
    </w:p>
    <w:p w14:paraId="4310C2AB" w14:textId="5753189A" w:rsidR="00AA6E89" w:rsidRPr="002178E4" w:rsidRDefault="00AA6E89" w:rsidP="000C11FA">
      <w:r>
        <w:t xml:space="preserve">While this indicator considers freight vehicles, ENV_DC_APV1 and ENV_DC_APV2 illustrate the share of zero-emission </w:t>
      </w:r>
      <w:r w:rsidRPr="00AA6E89">
        <w:rPr>
          <w:b/>
          <w:bCs/>
        </w:rPr>
        <w:t>passenger vehicles</w:t>
      </w:r>
      <w:r>
        <w:t xml:space="preserve"> among newly registered cars and over the whole car fleet, respectively.</w:t>
      </w:r>
    </w:p>
    <w:p w14:paraId="4A2B6E38" w14:textId="77777777" w:rsidR="00B744E7" w:rsidRDefault="00B744E7">
      <w:pPr>
        <w:spacing w:before="0" w:after="0" w:line="240" w:lineRule="auto"/>
        <w:jc w:val="left"/>
      </w:pPr>
    </w:p>
    <w:p w14:paraId="7779DECE" w14:textId="77777777" w:rsidR="00B744E7" w:rsidRDefault="00B744E7">
      <w:pPr>
        <w:spacing w:before="0" w:after="0" w:line="240" w:lineRule="auto"/>
        <w:jc w:val="left"/>
      </w:pPr>
    </w:p>
    <w:p w14:paraId="631B8B81" w14:textId="77777777" w:rsidR="00B744E7" w:rsidRDefault="00B744E7">
      <w:pPr>
        <w:spacing w:before="0" w:after="0" w:line="240" w:lineRule="auto"/>
        <w:jc w:val="left"/>
      </w:pPr>
    </w:p>
    <w:sectPr w:rsidR="00B744E7" w:rsidSect="00CD6E7E">
      <w:footerReference w:type="first" r:id="rId18"/>
      <w:pgSz w:w="11900" w:h="16840" w:code="9"/>
      <w:pgMar w:top="1134" w:right="1134" w:bottom="1134" w:left="1134" w:header="397" w:footer="454" w:gutter="0"/>
      <w:cols w:sep="1"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2634" w14:textId="77777777" w:rsidR="003C6FC9" w:rsidRDefault="003C6FC9">
      <w:r>
        <w:separator/>
      </w:r>
    </w:p>
  </w:endnote>
  <w:endnote w:type="continuationSeparator" w:id="0">
    <w:p w14:paraId="4CEECF92" w14:textId="77777777" w:rsidR="003C6FC9" w:rsidRDefault="003C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0768" w14:textId="522B7918" w:rsidR="00287581" w:rsidRDefault="00287581" w:rsidP="00846E05">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1067" w14:textId="77777777" w:rsidR="003C6FC9" w:rsidRDefault="003C6FC9">
      <w:r>
        <w:separator/>
      </w:r>
    </w:p>
  </w:footnote>
  <w:footnote w:type="continuationSeparator" w:id="0">
    <w:p w14:paraId="366CE169" w14:textId="77777777" w:rsidR="003C6FC9" w:rsidRDefault="003C6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AA8E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290B3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6E831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04C8B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5B446F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785C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1AA4B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A2D1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EFEBCC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71E27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2A75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B0E8B"/>
    <w:multiLevelType w:val="hybridMultilevel"/>
    <w:tmpl w:val="578E5A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77E2759"/>
    <w:multiLevelType w:val="hybridMultilevel"/>
    <w:tmpl w:val="62B420B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9C32B4F"/>
    <w:multiLevelType w:val="hybridMultilevel"/>
    <w:tmpl w:val="7F4CFA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785006"/>
    <w:multiLevelType w:val="hybridMultilevel"/>
    <w:tmpl w:val="7D1AC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597A18"/>
    <w:multiLevelType w:val="hybridMultilevel"/>
    <w:tmpl w:val="C6789070"/>
    <w:lvl w:ilvl="0" w:tplc="836C4666">
      <w:start w:val="1"/>
      <w:numFmt w:val="bullet"/>
      <w:pStyle w:val="CIVSmallList"/>
      <w:lvlText w:val=""/>
      <w:lvlJc w:val="left"/>
      <w:pPr>
        <w:tabs>
          <w:tab w:val="num" w:pos="284"/>
        </w:tabs>
        <w:ind w:left="284" w:hanging="284"/>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Wingdings"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Wingdings"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Wingdings"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923401"/>
    <w:multiLevelType w:val="hybridMultilevel"/>
    <w:tmpl w:val="A87E55F2"/>
    <w:lvl w:ilvl="0" w:tplc="F9BAF48C">
      <w:start w:val="1"/>
      <w:numFmt w:val="bullet"/>
      <w:pStyle w:val="CIVBullet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57F2C"/>
    <w:multiLevelType w:val="hybridMultilevel"/>
    <w:tmpl w:val="356E09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33940201"/>
    <w:multiLevelType w:val="hybridMultilevel"/>
    <w:tmpl w:val="11DEF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FE7AFD"/>
    <w:multiLevelType w:val="hybridMultilevel"/>
    <w:tmpl w:val="38D6FAF2"/>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8509ED"/>
    <w:multiLevelType w:val="hybridMultilevel"/>
    <w:tmpl w:val="B184A99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560F1B"/>
    <w:multiLevelType w:val="singleLevel"/>
    <w:tmpl w:val="566E4DB8"/>
    <w:lvl w:ilvl="0">
      <w:start w:val="1"/>
      <w:numFmt w:val="decimal"/>
      <w:pStyle w:val="CIVNumList"/>
      <w:lvlText w:val="(%1)"/>
      <w:lvlJc w:val="left"/>
      <w:pPr>
        <w:tabs>
          <w:tab w:val="num" w:pos="360"/>
        </w:tabs>
        <w:ind w:left="360" w:hanging="360"/>
      </w:pPr>
      <w:rPr>
        <w:rFonts w:hint="default"/>
      </w:rPr>
    </w:lvl>
  </w:abstractNum>
  <w:abstractNum w:abstractNumId="22" w15:restartNumberingAfterBreak="0">
    <w:nsid w:val="518F1DF1"/>
    <w:multiLevelType w:val="multilevel"/>
    <w:tmpl w:val="4740EAF4"/>
    <w:lvl w:ilvl="0">
      <w:start w:val="1"/>
      <w:numFmt w:val="decimal"/>
      <w:pStyle w:val="CIVHeadline1"/>
      <w:lvlText w:val="%1"/>
      <w:lvlJc w:val="left"/>
      <w:pPr>
        <w:ind w:left="432" w:hanging="432"/>
      </w:pPr>
      <w:rPr>
        <w:rFonts w:hint="default"/>
      </w:rPr>
    </w:lvl>
    <w:lvl w:ilvl="1">
      <w:start w:val="1"/>
      <w:numFmt w:val="decimal"/>
      <w:pStyle w:val="CIVHeadline2"/>
      <w:lvlText w:val="%1.%2"/>
      <w:lvlJc w:val="left"/>
      <w:pPr>
        <w:ind w:left="576" w:hanging="576"/>
      </w:pPr>
      <w:rPr>
        <w:rFonts w:hint="default"/>
      </w:rPr>
    </w:lvl>
    <w:lvl w:ilvl="2">
      <w:start w:val="1"/>
      <w:numFmt w:val="decimal"/>
      <w:pStyle w:val="CIVStandardBold"/>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5D51E6C"/>
    <w:multiLevelType w:val="hybridMultilevel"/>
    <w:tmpl w:val="B4862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21016C"/>
    <w:multiLevelType w:val="hybridMultilevel"/>
    <w:tmpl w:val="62B420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4F51CC"/>
    <w:multiLevelType w:val="singleLevel"/>
    <w:tmpl w:val="EEC488BC"/>
    <w:lvl w:ilvl="0">
      <w:numFmt w:val="bullet"/>
      <w:lvlText w:val=""/>
      <w:lvlJc w:val="left"/>
      <w:pPr>
        <w:tabs>
          <w:tab w:val="num" w:pos="360"/>
        </w:tabs>
        <w:ind w:left="360" w:hanging="360"/>
      </w:pPr>
      <w:rPr>
        <w:rFonts w:ascii="Symbol" w:hAnsi="Symbol" w:hint="default"/>
        <w:sz w:val="22"/>
      </w:rPr>
    </w:lvl>
  </w:abstractNum>
  <w:abstractNum w:abstractNumId="26" w15:restartNumberingAfterBreak="0">
    <w:nsid w:val="677378B5"/>
    <w:multiLevelType w:val="hybridMultilevel"/>
    <w:tmpl w:val="1B10A192"/>
    <w:lvl w:ilvl="0" w:tplc="FFFFFFFF">
      <w:start w:val="1"/>
      <w:numFmt w:val="bullet"/>
      <w:pStyle w:val="CIVList"/>
      <w:lvlText w:val=""/>
      <w:lvlJc w:val="left"/>
      <w:pPr>
        <w:tabs>
          <w:tab w:val="num" w:pos="284"/>
        </w:tabs>
        <w:ind w:left="284" w:hanging="284"/>
      </w:pPr>
      <w:rPr>
        <w:rFonts w:ascii="Symbol" w:hAnsi="Symbol" w:hint="default"/>
        <w:sz w:val="20"/>
        <w:szCs w:val="20"/>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16625C"/>
    <w:multiLevelType w:val="hybridMultilevel"/>
    <w:tmpl w:val="CE0E933E"/>
    <w:lvl w:ilvl="0" w:tplc="15F6065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40301B"/>
    <w:multiLevelType w:val="hybridMultilevel"/>
    <w:tmpl w:val="6D4C72DE"/>
    <w:lvl w:ilvl="0" w:tplc="EFFA05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476EF3"/>
    <w:multiLevelType w:val="multilevel"/>
    <w:tmpl w:val="6D4C7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4979880">
    <w:abstractNumId w:val="0"/>
  </w:num>
  <w:num w:numId="2" w16cid:durableId="1261716338">
    <w:abstractNumId w:val="10"/>
  </w:num>
  <w:num w:numId="3" w16cid:durableId="673530405">
    <w:abstractNumId w:val="8"/>
  </w:num>
  <w:num w:numId="4" w16cid:durableId="218713550">
    <w:abstractNumId w:val="7"/>
  </w:num>
  <w:num w:numId="5" w16cid:durableId="375160000">
    <w:abstractNumId w:val="6"/>
  </w:num>
  <w:num w:numId="6" w16cid:durableId="995062686">
    <w:abstractNumId w:val="5"/>
  </w:num>
  <w:num w:numId="7" w16cid:durableId="534806445">
    <w:abstractNumId w:val="9"/>
  </w:num>
  <w:num w:numId="8" w16cid:durableId="1173304717">
    <w:abstractNumId w:val="4"/>
  </w:num>
  <w:num w:numId="9" w16cid:durableId="666440880">
    <w:abstractNumId w:val="3"/>
  </w:num>
  <w:num w:numId="10" w16cid:durableId="2014070937">
    <w:abstractNumId w:val="2"/>
  </w:num>
  <w:num w:numId="11" w16cid:durableId="1523979967">
    <w:abstractNumId w:val="1"/>
  </w:num>
  <w:num w:numId="12" w16cid:durableId="2057772432">
    <w:abstractNumId w:val="25"/>
  </w:num>
  <w:num w:numId="13" w16cid:durableId="1339118865">
    <w:abstractNumId w:val="26"/>
  </w:num>
  <w:num w:numId="14" w16cid:durableId="484123621">
    <w:abstractNumId w:val="21"/>
  </w:num>
  <w:num w:numId="15" w16cid:durableId="2090926690">
    <w:abstractNumId w:val="15"/>
  </w:num>
  <w:num w:numId="16" w16cid:durableId="1946963555">
    <w:abstractNumId w:val="28"/>
  </w:num>
  <w:num w:numId="17" w16cid:durableId="803621043">
    <w:abstractNumId w:val="29"/>
  </w:num>
  <w:num w:numId="18" w16cid:durableId="1948196904">
    <w:abstractNumId w:val="22"/>
  </w:num>
  <w:num w:numId="19" w16cid:durableId="1488741571">
    <w:abstractNumId w:val="16"/>
  </w:num>
  <w:num w:numId="20" w16cid:durableId="2009600066">
    <w:abstractNumId w:val="16"/>
  </w:num>
  <w:num w:numId="21" w16cid:durableId="147405365">
    <w:abstractNumId w:val="26"/>
  </w:num>
  <w:num w:numId="22" w16cid:durableId="1613635611">
    <w:abstractNumId w:val="15"/>
  </w:num>
  <w:num w:numId="23" w16cid:durableId="236675009">
    <w:abstractNumId w:val="18"/>
  </w:num>
  <w:num w:numId="24" w16cid:durableId="952177074">
    <w:abstractNumId w:val="14"/>
  </w:num>
  <w:num w:numId="25" w16cid:durableId="90246286">
    <w:abstractNumId w:val="22"/>
  </w:num>
  <w:num w:numId="26" w16cid:durableId="143787685">
    <w:abstractNumId w:val="22"/>
  </w:num>
  <w:num w:numId="27" w16cid:durableId="1676879244">
    <w:abstractNumId w:val="22"/>
  </w:num>
  <w:num w:numId="28" w16cid:durableId="906035429">
    <w:abstractNumId w:val="11"/>
  </w:num>
  <w:num w:numId="29" w16cid:durableId="2014382000">
    <w:abstractNumId w:val="13"/>
  </w:num>
  <w:num w:numId="30" w16cid:durableId="2139688412">
    <w:abstractNumId w:val="19"/>
  </w:num>
  <w:num w:numId="31" w16cid:durableId="1470593842">
    <w:abstractNumId w:val="12"/>
  </w:num>
  <w:num w:numId="32" w16cid:durableId="899637813">
    <w:abstractNumId w:val="24"/>
  </w:num>
  <w:num w:numId="33" w16cid:durableId="2031905630">
    <w:abstractNumId w:val="22"/>
  </w:num>
  <w:num w:numId="34" w16cid:durableId="1731615529">
    <w:abstractNumId w:val="20"/>
  </w:num>
  <w:num w:numId="35" w16cid:durableId="1167212278">
    <w:abstractNumId w:val="17"/>
  </w:num>
  <w:num w:numId="36" w16cid:durableId="1556313608">
    <w:abstractNumId w:val="23"/>
  </w:num>
  <w:num w:numId="37" w16cid:durableId="7902483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color="white" stroke="f">
      <v:fill color="white"/>
      <v:stroke on="f"/>
      <v:shadow color="black" opacity="49151f" offset=".74833mm,.74833mm"/>
      <v:textbox inset="0,,0"/>
      <o:colormru v:ext="edit" colors="#004494,#034ea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B7"/>
    <w:rsid w:val="000033B9"/>
    <w:rsid w:val="000078E6"/>
    <w:rsid w:val="00011A78"/>
    <w:rsid w:val="00012BF2"/>
    <w:rsid w:val="00013063"/>
    <w:rsid w:val="00020283"/>
    <w:rsid w:val="000202B7"/>
    <w:rsid w:val="00024DAA"/>
    <w:rsid w:val="00025CD8"/>
    <w:rsid w:val="00026B2A"/>
    <w:rsid w:val="00042273"/>
    <w:rsid w:val="00045EC2"/>
    <w:rsid w:val="00051E38"/>
    <w:rsid w:val="00057467"/>
    <w:rsid w:val="00061977"/>
    <w:rsid w:val="00076556"/>
    <w:rsid w:val="00082FE2"/>
    <w:rsid w:val="00086A54"/>
    <w:rsid w:val="00087423"/>
    <w:rsid w:val="00092A9E"/>
    <w:rsid w:val="00096D11"/>
    <w:rsid w:val="000A5106"/>
    <w:rsid w:val="000B12A8"/>
    <w:rsid w:val="000B1974"/>
    <w:rsid w:val="000B4E0A"/>
    <w:rsid w:val="000B7EB5"/>
    <w:rsid w:val="000C11FA"/>
    <w:rsid w:val="000C5118"/>
    <w:rsid w:val="000C72BA"/>
    <w:rsid w:val="000D148F"/>
    <w:rsid w:val="000D1EFD"/>
    <w:rsid w:val="000D5816"/>
    <w:rsid w:val="000D7D8C"/>
    <w:rsid w:val="000E2163"/>
    <w:rsid w:val="000E57A8"/>
    <w:rsid w:val="000E614A"/>
    <w:rsid w:val="000F1568"/>
    <w:rsid w:val="000F1BEE"/>
    <w:rsid w:val="001032AA"/>
    <w:rsid w:val="0011680E"/>
    <w:rsid w:val="00117BAA"/>
    <w:rsid w:val="001447C9"/>
    <w:rsid w:val="00147478"/>
    <w:rsid w:val="00151DCA"/>
    <w:rsid w:val="00153956"/>
    <w:rsid w:val="00154360"/>
    <w:rsid w:val="00155F40"/>
    <w:rsid w:val="00156C0D"/>
    <w:rsid w:val="001A1812"/>
    <w:rsid w:val="001A2BDD"/>
    <w:rsid w:val="001B648F"/>
    <w:rsid w:val="001C4FCA"/>
    <w:rsid w:val="001E2006"/>
    <w:rsid w:val="001E4831"/>
    <w:rsid w:val="001F2CBF"/>
    <w:rsid w:val="00200503"/>
    <w:rsid w:val="002036C3"/>
    <w:rsid w:val="00205385"/>
    <w:rsid w:val="00205692"/>
    <w:rsid w:val="00206555"/>
    <w:rsid w:val="00214273"/>
    <w:rsid w:val="002178E4"/>
    <w:rsid w:val="00226E65"/>
    <w:rsid w:val="002346EC"/>
    <w:rsid w:val="0024102F"/>
    <w:rsid w:val="002417B0"/>
    <w:rsid w:val="00244E6C"/>
    <w:rsid w:val="00250C31"/>
    <w:rsid w:val="002536DA"/>
    <w:rsid w:val="002627D6"/>
    <w:rsid w:val="00262957"/>
    <w:rsid w:val="00264A71"/>
    <w:rsid w:val="00265F45"/>
    <w:rsid w:val="002730D2"/>
    <w:rsid w:val="00280414"/>
    <w:rsid w:val="00285FD2"/>
    <w:rsid w:val="00287250"/>
    <w:rsid w:val="00287581"/>
    <w:rsid w:val="002905CD"/>
    <w:rsid w:val="002A2194"/>
    <w:rsid w:val="002B2DB9"/>
    <w:rsid w:val="002D69F1"/>
    <w:rsid w:val="002D7CB9"/>
    <w:rsid w:val="002F4E10"/>
    <w:rsid w:val="00304EAE"/>
    <w:rsid w:val="00305225"/>
    <w:rsid w:val="00306729"/>
    <w:rsid w:val="00306D6B"/>
    <w:rsid w:val="00312D39"/>
    <w:rsid w:val="0032628F"/>
    <w:rsid w:val="00333083"/>
    <w:rsid w:val="0033656B"/>
    <w:rsid w:val="00356089"/>
    <w:rsid w:val="00356E69"/>
    <w:rsid w:val="00375A78"/>
    <w:rsid w:val="00385093"/>
    <w:rsid w:val="00386308"/>
    <w:rsid w:val="00387056"/>
    <w:rsid w:val="00392E11"/>
    <w:rsid w:val="00395D1D"/>
    <w:rsid w:val="00396058"/>
    <w:rsid w:val="003A0741"/>
    <w:rsid w:val="003A107C"/>
    <w:rsid w:val="003A390B"/>
    <w:rsid w:val="003A4F61"/>
    <w:rsid w:val="003A7958"/>
    <w:rsid w:val="003B3131"/>
    <w:rsid w:val="003B3620"/>
    <w:rsid w:val="003B5410"/>
    <w:rsid w:val="003C1C6D"/>
    <w:rsid w:val="003C6FC9"/>
    <w:rsid w:val="003D1BFC"/>
    <w:rsid w:val="003E0D9B"/>
    <w:rsid w:val="003E24C1"/>
    <w:rsid w:val="00405B8A"/>
    <w:rsid w:val="00410984"/>
    <w:rsid w:val="00410C58"/>
    <w:rsid w:val="004119DE"/>
    <w:rsid w:val="00411B64"/>
    <w:rsid w:val="00414AEB"/>
    <w:rsid w:val="00415F40"/>
    <w:rsid w:val="00421EE4"/>
    <w:rsid w:val="004234CD"/>
    <w:rsid w:val="00424830"/>
    <w:rsid w:val="004268E3"/>
    <w:rsid w:val="00427495"/>
    <w:rsid w:val="00430B0C"/>
    <w:rsid w:val="00435175"/>
    <w:rsid w:val="00440C7C"/>
    <w:rsid w:val="00441A13"/>
    <w:rsid w:val="00441DAB"/>
    <w:rsid w:val="00446362"/>
    <w:rsid w:val="00447D0E"/>
    <w:rsid w:val="0045291D"/>
    <w:rsid w:val="004546E3"/>
    <w:rsid w:val="0045617F"/>
    <w:rsid w:val="004600E5"/>
    <w:rsid w:val="00461495"/>
    <w:rsid w:val="00462F3D"/>
    <w:rsid w:val="004646FD"/>
    <w:rsid w:val="0047062E"/>
    <w:rsid w:val="00470D2F"/>
    <w:rsid w:val="0047215F"/>
    <w:rsid w:val="00477FC1"/>
    <w:rsid w:val="0048058E"/>
    <w:rsid w:val="00487667"/>
    <w:rsid w:val="00491F69"/>
    <w:rsid w:val="004961F8"/>
    <w:rsid w:val="004962FD"/>
    <w:rsid w:val="00496EB9"/>
    <w:rsid w:val="004A2AF6"/>
    <w:rsid w:val="004A7FB7"/>
    <w:rsid w:val="004B4492"/>
    <w:rsid w:val="004B4B7B"/>
    <w:rsid w:val="004B6230"/>
    <w:rsid w:val="004C6B6D"/>
    <w:rsid w:val="004E1330"/>
    <w:rsid w:val="004E7C36"/>
    <w:rsid w:val="004F0C6C"/>
    <w:rsid w:val="004F2ED2"/>
    <w:rsid w:val="0050659A"/>
    <w:rsid w:val="00525F66"/>
    <w:rsid w:val="005267F0"/>
    <w:rsid w:val="00540EEF"/>
    <w:rsid w:val="00541111"/>
    <w:rsid w:val="00544DD5"/>
    <w:rsid w:val="00564F4B"/>
    <w:rsid w:val="00595901"/>
    <w:rsid w:val="00596DFF"/>
    <w:rsid w:val="005A45CC"/>
    <w:rsid w:val="005B0BBE"/>
    <w:rsid w:val="005B1143"/>
    <w:rsid w:val="005B1DA5"/>
    <w:rsid w:val="005B2496"/>
    <w:rsid w:val="005B264E"/>
    <w:rsid w:val="005B53E8"/>
    <w:rsid w:val="005C4E2B"/>
    <w:rsid w:val="005D0A58"/>
    <w:rsid w:val="005D6C51"/>
    <w:rsid w:val="005E37C2"/>
    <w:rsid w:val="00601F56"/>
    <w:rsid w:val="00604211"/>
    <w:rsid w:val="00606180"/>
    <w:rsid w:val="00607F38"/>
    <w:rsid w:val="00612DA4"/>
    <w:rsid w:val="006168A4"/>
    <w:rsid w:val="0062656C"/>
    <w:rsid w:val="00630862"/>
    <w:rsid w:val="0065300F"/>
    <w:rsid w:val="00656FA1"/>
    <w:rsid w:val="006636F2"/>
    <w:rsid w:val="00667404"/>
    <w:rsid w:val="00675F3F"/>
    <w:rsid w:val="0068005F"/>
    <w:rsid w:val="006806FA"/>
    <w:rsid w:val="0068635F"/>
    <w:rsid w:val="006977EF"/>
    <w:rsid w:val="006A3C82"/>
    <w:rsid w:val="006A5409"/>
    <w:rsid w:val="006B0794"/>
    <w:rsid w:val="006C40DF"/>
    <w:rsid w:val="006C484B"/>
    <w:rsid w:val="006D094E"/>
    <w:rsid w:val="006D1B4A"/>
    <w:rsid w:val="006E3253"/>
    <w:rsid w:val="006E3979"/>
    <w:rsid w:val="006F2CCC"/>
    <w:rsid w:val="006F4E1A"/>
    <w:rsid w:val="006F5E3A"/>
    <w:rsid w:val="006F6986"/>
    <w:rsid w:val="00703FA7"/>
    <w:rsid w:val="00717BAB"/>
    <w:rsid w:val="00720F52"/>
    <w:rsid w:val="00731A32"/>
    <w:rsid w:val="00732D01"/>
    <w:rsid w:val="0074684D"/>
    <w:rsid w:val="00746985"/>
    <w:rsid w:val="00763DAE"/>
    <w:rsid w:val="007722F3"/>
    <w:rsid w:val="00775167"/>
    <w:rsid w:val="00781EB2"/>
    <w:rsid w:val="007851FB"/>
    <w:rsid w:val="007944CD"/>
    <w:rsid w:val="00794DB3"/>
    <w:rsid w:val="007B67CD"/>
    <w:rsid w:val="007E047C"/>
    <w:rsid w:val="007E060B"/>
    <w:rsid w:val="007E2370"/>
    <w:rsid w:val="007F24C1"/>
    <w:rsid w:val="007F7738"/>
    <w:rsid w:val="00804025"/>
    <w:rsid w:val="0080595B"/>
    <w:rsid w:val="0080650D"/>
    <w:rsid w:val="00807220"/>
    <w:rsid w:val="008163CB"/>
    <w:rsid w:val="008221BE"/>
    <w:rsid w:val="00823ACE"/>
    <w:rsid w:val="00837D72"/>
    <w:rsid w:val="00842C7B"/>
    <w:rsid w:val="00846E05"/>
    <w:rsid w:val="008472AB"/>
    <w:rsid w:val="00857A9B"/>
    <w:rsid w:val="008605C6"/>
    <w:rsid w:val="00876A3F"/>
    <w:rsid w:val="00880901"/>
    <w:rsid w:val="00887C64"/>
    <w:rsid w:val="00897A18"/>
    <w:rsid w:val="008B0CD5"/>
    <w:rsid w:val="008B3EB7"/>
    <w:rsid w:val="008B6F66"/>
    <w:rsid w:val="008C233D"/>
    <w:rsid w:val="008C4E04"/>
    <w:rsid w:val="008E6627"/>
    <w:rsid w:val="008F23CC"/>
    <w:rsid w:val="008F3071"/>
    <w:rsid w:val="008F43E4"/>
    <w:rsid w:val="00915723"/>
    <w:rsid w:val="00950FB1"/>
    <w:rsid w:val="009709E2"/>
    <w:rsid w:val="00972D40"/>
    <w:rsid w:val="00981F40"/>
    <w:rsid w:val="0098314F"/>
    <w:rsid w:val="00983D33"/>
    <w:rsid w:val="00990020"/>
    <w:rsid w:val="00994063"/>
    <w:rsid w:val="009A1613"/>
    <w:rsid w:val="009A7657"/>
    <w:rsid w:val="009B1C74"/>
    <w:rsid w:val="009B29B6"/>
    <w:rsid w:val="009B5CE9"/>
    <w:rsid w:val="009C49EF"/>
    <w:rsid w:val="009C7950"/>
    <w:rsid w:val="009D5435"/>
    <w:rsid w:val="009E2628"/>
    <w:rsid w:val="009E49FC"/>
    <w:rsid w:val="009F1CA7"/>
    <w:rsid w:val="00A17092"/>
    <w:rsid w:val="00A25ACA"/>
    <w:rsid w:val="00A46E40"/>
    <w:rsid w:val="00A47C38"/>
    <w:rsid w:val="00A5660C"/>
    <w:rsid w:val="00A570EB"/>
    <w:rsid w:val="00A604B9"/>
    <w:rsid w:val="00A67E12"/>
    <w:rsid w:val="00A70525"/>
    <w:rsid w:val="00A74CEC"/>
    <w:rsid w:val="00A84D5E"/>
    <w:rsid w:val="00A84ED7"/>
    <w:rsid w:val="00A9009C"/>
    <w:rsid w:val="00A902CD"/>
    <w:rsid w:val="00A908FD"/>
    <w:rsid w:val="00AA6E89"/>
    <w:rsid w:val="00AC0159"/>
    <w:rsid w:val="00AC34F5"/>
    <w:rsid w:val="00AD6EAD"/>
    <w:rsid w:val="00AE0484"/>
    <w:rsid w:val="00AE33D4"/>
    <w:rsid w:val="00AF1F0C"/>
    <w:rsid w:val="00AF7E52"/>
    <w:rsid w:val="00B04DCC"/>
    <w:rsid w:val="00B06521"/>
    <w:rsid w:val="00B12C86"/>
    <w:rsid w:val="00B21C0F"/>
    <w:rsid w:val="00B2422A"/>
    <w:rsid w:val="00B272DE"/>
    <w:rsid w:val="00B30D40"/>
    <w:rsid w:val="00B319CC"/>
    <w:rsid w:val="00B32585"/>
    <w:rsid w:val="00B37B8B"/>
    <w:rsid w:val="00B45F6F"/>
    <w:rsid w:val="00B54721"/>
    <w:rsid w:val="00B547B6"/>
    <w:rsid w:val="00B61F62"/>
    <w:rsid w:val="00B65FFA"/>
    <w:rsid w:val="00B72470"/>
    <w:rsid w:val="00B744E7"/>
    <w:rsid w:val="00B757EF"/>
    <w:rsid w:val="00B979E3"/>
    <w:rsid w:val="00BA29AC"/>
    <w:rsid w:val="00BA5E5F"/>
    <w:rsid w:val="00BB3214"/>
    <w:rsid w:val="00BD78A5"/>
    <w:rsid w:val="00BE16C1"/>
    <w:rsid w:val="00BF4481"/>
    <w:rsid w:val="00C01B7A"/>
    <w:rsid w:val="00C07E0A"/>
    <w:rsid w:val="00C10860"/>
    <w:rsid w:val="00C24352"/>
    <w:rsid w:val="00C260C5"/>
    <w:rsid w:val="00C35426"/>
    <w:rsid w:val="00C370ED"/>
    <w:rsid w:val="00C44B25"/>
    <w:rsid w:val="00C4690F"/>
    <w:rsid w:val="00C47D46"/>
    <w:rsid w:val="00C627B5"/>
    <w:rsid w:val="00C76061"/>
    <w:rsid w:val="00C76859"/>
    <w:rsid w:val="00C843EF"/>
    <w:rsid w:val="00C87F87"/>
    <w:rsid w:val="00CA7299"/>
    <w:rsid w:val="00CB0829"/>
    <w:rsid w:val="00CB720F"/>
    <w:rsid w:val="00CB75DA"/>
    <w:rsid w:val="00CD2816"/>
    <w:rsid w:val="00CD6E7E"/>
    <w:rsid w:val="00CD74C9"/>
    <w:rsid w:val="00CE2DA6"/>
    <w:rsid w:val="00CE3104"/>
    <w:rsid w:val="00CF00DD"/>
    <w:rsid w:val="00CF705A"/>
    <w:rsid w:val="00D0552B"/>
    <w:rsid w:val="00D14D6D"/>
    <w:rsid w:val="00D2090D"/>
    <w:rsid w:val="00D30BE0"/>
    <w:rsid w:val="00D324AD"/>
    <w:rsid w:val="00D42521"/>
    <w:rsid w:val="00D475CF"/>
    <w:rsid w:val="00D47791"/>
    <w:rsid w:val="00D50214"/>
    <w:rsid w:val="00D53932"/>
    <w:rsid w:val="00D54487"/>
    <w:rsid w:val="00D55C4E"/>
    <w:rsid w:val="00D5673B"/>
    <w:rsid w:val="00D56994"/>
    <w:rsid w:val="00D617CC"/>
    <w:rsid w:val="00D61BB1"/>
    <w:rsid w:val="00D6557A"/>
    <w:rsid w:val="00D65B58"/>
    <w:rsid w:val="00D7565A"/>
    <w:rsid w:val="00D76EF6"/>
    <w:rsid w:val="00D85B84"/>
    <w:rsid w:val="00D85E6B"/>
    <w:rsid w:val="00D90A47"/>
    <w:rsid w:val="00D93087"/>
    <w:rsid w:val="00D93B84"/>
    <w:rsid w:val="00DA7DF9"/>
    <w:rsid w:val="00DB1B46"/>
    <w:rsid w:val="00DC2F82"/>
    <w:rsid w:val="00DD0866"/>
    <w:rsid w:val="00DD69C2"/>
    <w:rsid w:val="00DE1ADD"/>
    <w:rsid w:val="00DE5260"/>
    <w:rsid w:val="00DE76C0"/>
    <w:rsid w:val="00DF57A6"/>
    <w:rsid w:val="00E03C82"/>
    <w:rsid w:val="00E14A01"/>
    <w:rsid w:val="00E2588B"/>
    <w:rsid w:val="00E31115"/>
    <w:rsid w:val="00E46C0C"/>
    <w:rsid w:val="00E46ECB"/>
    <w:rsid w:val="00E51757"/>
    <w:rsid w:val="00E5743A"/>
    <w:rsid w:val="00E57E66"/>
    <w:rsid w:val="00E60048"/>
    <w:rsid w:val="00E628A1"/>
    <w:rsid w:val="00E714DC"/>
    <w:rsid w:val="00E742A6"/>
    <w:rsid w:val="00E760C3"/>
    <w:rsid w:val="00E76A5A"/>
    <w:rsid w:val="00E811B0"/>
    <w:rsid w:val="00EB3A3F"/>
    <w:rsid w:val="00EB4040"/>
    <w:rsid w:val="00EC36ED"/>
    <w:rsid w:val="00EC5E47"/>
    <w:rsid w:val="00EC5F81"/>
    <w:rsid w:val="00ED3349"/>
    <w:rsid w:val="00ED6D63"/>
    <w:rsid w:val="00EF3D34"/>
    <w:rsid w:val="00EF543F"/>
    <w:rsid w:val="00F000E1"/>
    <w:rsid w:val="00F07063"/>
    <w:rsid w:val="00F22148"/>
    <w:rsid w:val="00F23059"/>
    <w:rsid w:val="00F25EC6"/>
    <w:rsid w:val="00F268FE"/>
    <w:rsid w:val="00F421A1"/>
    <w:rsid w:val="00F431B4"/>
    <w:rsid w:val="00F44179"/>
    <w:rsid w:val="00F53DCD"/>
    <w:rsid w:val="00F570EE"/>
    <w:rsid w:val="00F57C93"/>
    <w:rsid w:val="00F60079"/>
    <w:rsid w:val="00F6209A"/>
    <w:rsid w:val="00F64324"/>
    <w:rsid w:val="00F73B7B"/>
    <w:rsid w:val="00F8041D"/>
    <w:rsid w:val="00F832E3"/>
    <w:rsid w:val="00F921BB"/>
    <w:rsid w:val="00F9387F"/>
    <w:rsid w:val="00F94038"/>
    <w:rsid w:val="00FA03AA"/>
    <w:rsid w:val="00FA124C"/>
    <w:rsid w:val="00FA5346"/>
    <w:rsid w:val="00FA6F94"/>
    <w:rsid w:val="00FC2241"/>
    <w:rsid w:val="00FE5284"/>
    <w:rsid w:val="00FF66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stroke="f">
      <v:fill color="white"/>
      <v:stroke on="f"/>
      <v:shadow color="black" opacity="49151f" offset=".74833mm,.74833mm"/>
      <v:textbox inset="0,,0"/>
      <o:colormru v:ext="edit" colors="#004494,#034ea2"/>
    </o:shapedefaults>
    <o:shapelayout v:ext="edit">
      <o:idmap v:ext="edit" data="2"/>
    </o:shapelayout>
  </w:shapeDefaults>
  <w:doNotEmbedSmartTags/>
  <w:decimalSymbol w:val="."/>
  <w:listSeparator w:val=","/>
  <w14:docId w14:val="5BAAD0EF"/>
  <w15:docId w15:val="{94822BD3-EA97-4D95-99A3-CC49DC6E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IV_Standard"/>
    <w:qFormat/>
    <w:rsid w:val="009D5435"/>
    <w:pPr>
      <w:spacing w:before="120" w:after="120" w:line="300" w:lineRule="atLeast"/>
      <w:jc w:val="both"/>
    </w:pPr>
    <w:rPr>
      <w:rFonts w:ascii="Arial" w:hAnsi="Arial"/>
      <w:sz w:val="22"/>
      <w:szCs w:val="24"/>
      <w:lang w:val="en-GB"/>
    </w:rPr>
  </w:style>
  <w:style w:type="paragraph" w:styleId="Heading1">
    <w:name w:val="heading 1"/>
    <w:basedOn w:val="Normal"/>
    <w:next w:val="Normal"/>
    <w:link w:val="Heading1Char"/>
    <w:uiPriority w:val="9"/>
    <w:qFormat/>
    <w:rsid w:val="00117BA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117BAA"/>
    <w:pPr>
      <w:keepNext/>
      <w:spacing w:before="240" w:after="60"/>
      <w:outlineLvl w:val="1"/>
    </w:pPr>
    <w:rPr>
      <w:rFonts w:ascii="Cambria" w:hAnsi="Cambria"/>
      <w:b/>
      <w:bCs/>
      <w:i/>
      <w:iCs/>
      <w:sz w:val="28"/>
      <w:szCs w:val="28"/>
    </w:rPr>
  </w:style>
  <w:style w:type="paragraph" w:styleId="Heading3">
    <w:name w:val="heading 3"/>
    <w:basedOn w:val="Normal"/>
    <w:next w:val="Normal"/>
    <w:autoRedefine/>
    <w:qFormat/>
    <w:rsid w:val="00176545"/>
    <w:pPr>
      <w:keepNext/>
      <w:spacing w:before="240" w:after="60"/>
      <w:outlineLvl w:val="2"/>
    </w:pPr>
    <w:rPr>
      <w:b/>
      <w:sz w:val="26"/>
      <w:szCs w:val="26"/>
    </w:rPr>
  </w:style>
  <w:style w:type="paragraph" w:styleId="Heading4">
    <w:name w:val="heading 4"/>
    <w:basedOn w:val="Normal"/>
    <w:next w:val="Normal"/>
    <w:link w:val="Heading4Char"/>
    <w:uiPriority w:val="9"/>
    <w:semiHidden/>
    <w:unhideWhenUsed/>
    <w:qFormat/>
    <w:rsid w:val="00A9009C"/>
    <w:pPr>
      <w:keepNext/>
      <w:numPr>
        <w:ilvl w:val="3"/>
        <w:numId w:val="18"/>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A9009C"/>
    <w:pPr>
      <w:numPr>
        <w:ilvl w:val="4"/>
        <w:numId w:val="18"/>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A9009C"/>
    <w:pPr>
      <w:numPr>
        <w:ilvl w:val="5"/>
        <w:numId w:val="18"/>
      </w:num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A9009C"/>
    <w:pPr>
      <w:numPr>
        <w:ilvl w:val="6"/>
        <w:numId w:val="18"/>
      </w:numPr>
      <w:spacing w:before="240" w:after="60"/>
      <w:outlineLvl w:val="6"/>
    </w:pPr>
    <w:rPr>
      <w:rFonts w:ascii="Calibri" w:hAnsi="Calibri"/>
      <w:sz w:val="24"/>
    </w:rPr>
  </w:style>
  <w:style w:type="paragraph" w:styleId="Heading8">
    <w:name w:val="heading 8"/>
    <w:basedOn w:val="Normal"/>
    <w:next w:val="Normal"/>
    <w:link w:val="Heading8Char"/>
    <w:uiPriority w:val="9"/>
    <w:semiHidden/>
    <w:unhideWhenUsed/>
    <w:qFormat/>
    <w:rsid w:val="00A9009C"/>
    <w:pPr>
      <w:numPr>
        <w:ilvl w:val="7"/>
        <w:numId w:val="18"/>
      </w:numPr>
      <w:spacing w:before="240" w:after="60"/>
      <w:outlineLvl w:val="7"/>
    </w:pPr>
    <w:rPr>
      <w:rFonts w:ascii="Calibri" w:hAnsi="Calibri"/>
      <w:i/>
      <w:iCs/>
      <w:sz w:val="24"/>
    </w:rPr>
  </w:style>
  <w:style w:type="paragraph" w:styleId="Heading9">
    <w:name w:val="heading 9"/>
    <w:basedOn w:val="Normal"/>
    <w:next w:val="Normal"/>
    <w:link w:val="Heading9Char"/>
    <w:uiPriority w:val="9"/>
    <w:semiHidden/>
    <w:unhideWhenUsed/>
    <w:qFormat/>
    <w:rsid w:val="00A9009C"/>
    <w:pPr>
      <w:numPr>
        <w:ilvl w:val="8"/>
        <w:numId w:val="18"/>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1194"/>
    <w:pPr>
      <w:tabs>
        <w:tab w:val="center" w:pos="4536"/>
        <w:tab w:val="right" w:pos="9072"/>
      </w:tabs>
    </w:pPr>
  </w:style>
  <w:style w:type="paragraph" w:styleId="Footer">
    <w:name w:val="footer"/>
    <w:basedOn w:val="Normal"/>
    <w:semiHidden/>
    <w:rsid w:val="00521194"/>
    <w:pPr>
      <w:tabs>
        <w:tab w:val="center" w:pos="4536"/>
        <w:tab w:val="right" w:pos="9072"/>
      </w:tabs>
    </w:pPr>
  </w:style>
  <w:style w:type="table" w:styleId="TableGrid">
    <w:name w:val="Table Grid"/>
    <w:basedOn w:val="TableNormal"/>
    <w:uiPriority w:val="39"/>
    <w:rsid w:val="00770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VBulletList">
    <w:name w:val="CIV_Bullet_List"/>
    <w:basedOn w:val="Normal"/>
    <w:rsid w:val="00153956"/>
    <w:pPr>
      <w:numPr>
        <w:numId w:val="19"/>
      </w:numPr>
      <w:spacing w:before="0" w:after="0" w:line="264" w:lineRule="auto"/>
    </w:pPr>
    <w:rPr>
      <w:color w:val="000000"/>
      <w:kern w:val="8"/>
      <w:szCs w:val="20"/>
    </w:rPr>
  </w:style>
  <w:style w:type="paragraph" w:styleId="Caption">
    <w:name w:val="caption"/>
    <w:basedOn w:val="Normal"/>
    <w:next w:val="Normal"/>
    <w:uiPriority w:val="35"/>
    <w:unhideWhenUsed/>
    <w:qFormat/>
    <w:rsid w:val="004234CD"/>
    <w:rPr>
      <w:b/>
      <w:bCs/>
      <w:sz w:val="20"/>
      <w:szCs w:val="20"/>
    </w:rPr>
  </w:style>
  <w:style w:type="paragraph" w:styleId="TableofFigures">
    <w:name w:val="table of figures"/>
    <w:basedOn w:val="Normal"/>
    <w:next w:val="Normal"/>
    <w:uiPriority w:val="99"/>
    <w:unhideWhenUsed/>
    <w:rsid w:val="00DC2F82"/>
  </w:style>
  <w:style w:type="paragraph" w:customStyle="1" w:styleId="CHeadline14">
    <w:name w:val="C_Headline_14"/>
    <w:basedOn w:val="Normal"/>
    <w:rsid w:val="001523D3"/>
    <w:rPr>
      <w:rFonts w:eastAsia="MS Mincho"/>
      <w:b/>
      <w:color w:val="000080"/>
      <w:sz w:val="28"/>
    </w:rPr>
  </w:style>
  <w:style w:type="paragraph" w:customStyle="1" w:styleId="CLeadtext13">
    <w:name w:val="C_Lead_text_13"/>
    <w:basedOn w:val="Normal"/>
    <w:rsid w:val="001523D3"/>
    <w:rPr>
      <w:rFonts w:eastAsia="MS Mincho"/>
      <w:color w:val="000080"/>
      <w:sz w:val="26"/>
    </w:rPr>
  </w:style>
  <w:style w:type="paragraph" w:customStyle="1" w:styleId="CHeadline22">
    <w:name w:val="C_Headline_22"/>
    <w:basedOn w:val="Normal"/>
    <w:rsid w:val="00770890"/>
    <w:rPr>
      <w:rFonts w:eastAsia="MS Mincho"/>
      <w:b/>
      <w:color w:val="000080"/>
      <w:sz w:val="44"/>
    </w:rPr>
  </w:style>
  <w:style w:type="paragraph" w:customStyle="1" w:styleId="CStandard8">
    <w:name w:val="C_Standard_8"/>
    <w:basedOn w:val="Normal"/>
    <w:rsid w:val="008221BE"/>
    <w:rPr>
      <w:rFonts w:eastAsia="MS Mincho"/>
      <w:sz w:val="16"/>
    </w:rPr>
  </w:style>
  <w:style w:type="paragraph" w:customStyle="1" w:styleId="CIVSmallText">
    <w:name w:val="CIV_Small_Text"/>
    <w:basedOn w:val="Normal"/>
    <w:rsid w:val="00E91BEA"/>
    <w:pPr>
      <w:spacing w:line="264" w:lineRule="auto"/>
    </w:pPr>
    <w:rPr>
      <w:snapToGrid w:val="0"/>
      <w:color w:val="000000"/>
      <w:kern w:val="8"/>
      <w:sz w:val="18"/>
      <w:szCs w:val="20"/>
      <w:lang w:eastAsia="en-US"/>
    </w:rPr>
  </w:style>
  <w:style w:type="paragraph" w:customStyle="1" w:styleId="CIVList">
    <w:name w:val="CIV_List"/>
    <w:basedOn w:val="Normal"/>
    <w:qFormat/>
    <w:rsid w:val="004962FD"/>
    <w:pPr>
      <w:numPr>
        <w:numId w:val="13"/>
      </w:numPr>
      <w:spacing w:before="0" w:after="0" w:line="264" w:lineRule="auto"/>
    </w:pPr>
    <w:rPr>
      <w:rFonts w:eastAsia="SimSun"/>
      <w:lang w:eastAsia="zh-CN"/>
    </w:rPr>
  </w:style>
  <w:style w:type="paragraph" w:customStyle="1" w:styleId="CIVNumList">
    <w:name w:val="CIV_Num_List"/>
    <w:qFormat/>
    <w:rsid w:val="00D90A47"/>
    <w:pPr>
      <w:numPr>
        <w:numId w:val="14"/>
      </w:numPr>
      <w:spacing w:line="264" w:lineRule="auto"/>
      <w:ind w:left="357" w:hanging="357"/>
      <w:jc w:val="both"/>
    </w:pPr>
    <w:rPr>
      <w:rFonts w:ascii="Arial" w:hAnsi="Arial"/>
      <w:noProof/>
      <w:sz w:val="22"/>
      <w:lang w:val="en-GB"/>
    </w:rPr>
  </w:style>
  <w:style w:type="paragraph" w:customStyle="1" w:styleId="CIVSmallList">
    <w:name w:val="CIV_Small_List"/>
    <w:basedOn w:val="Normal"/>
    <w:rsid w:val="00153956"/>
    <w:pPr>
      <w:numPr>
        <w:numId w:val="15"/>
      </w:numPr>
      <w:spacing w:before="0" w:after="0" w:line="264" w:lineRule="auto"/>
    </w:pPr>
    <w:rPr>
      <w:color w:val="000000"/>
      <w:kern w:val="8"/>
      <w:sz w:val="18"/>
      <w:szCs w:val="20"/>
    </w:rPr>
  </w:style>
  <w:style w:type="character" w:customStyle="1" w:styleId="Heading1Char">
    <w:name w:val="Heading 1 Char"/>
    <w:basedOn w:val="DefaultParagraphFont"/>
    <w:link w:val="Heading1"/>
    <w:uiPriority w:val="9"/>
    <w:rsid w:val="00117BAA"/>
    <w:rPr>
      <w:rFonts w:ascii="Cambria" w:eastAsia="Times New Roman" w:hAnsi="Cambria" w:cs="Times New Roman"/>
      <w:b/>
      <w:bCs/>
      <w:kern w:val="32"/>
      <w:sz w:val="32"/>
      <w:szCs w:val="32"/>
      <w:lang w:val="de-DE" w:eastAsia="de-DE"/>
    </w:rPr>
  </w:style>
  <w:style w:type="character" w:customStyle="1" w:styleId="Heading2Char">
    <w:name w:val="Heading 2 Char"/>
    <w:basedOn w:val="DefaultParagraphFont"/>
    <w:link w:val="Heading2"/>
    <w:uiPriority w:val="9"/>
    <w:semiHidden/>
    <w:rsid w:val="00117BAA"/>
    <w:rPr>
      <w:rFonts w:ascii="Cambria" w:hAnsi="Cambria"/>
      <w:b/>
      <w:bCs/>
      <w:i/>
      <w:iCs/>
      <w:sz w:val="28"/>
      <w:szCs w:val="28"/>
      <w:lang w:val="de-DE" w:eastAsia="de-DE"/>
    </w:rPr>
  </w:style>
  <w:style w:type="paragraph" w:styleId="TOC1">
    <w:name w:val="toc 1"/>
    <w:basedOn w:val="Normal"/>
    <w:next w:val="Normal"/>
    <w:autoRedefine/>
    <w:uiPriority w:val="39"/>
    <w:unhideWhenUsed/>
    <w:rsid w:val="009B1C74"/>
    <w:rPr>
      <w:b/>
      <w:bCs/>
      <w:caps/>
      <w:sz w:val="20"/>
      <w:szCs w:val="20"/>
    </w:rPr>
  </w:style>
  <w:style w:type="paragraph" w:styleId="TOC2">
    <w:name w:val="toc 2"/>
    <w:basedOn w:val="Normal"/>
    <w:next w:val="Normal"/>
    <w:autoRedefine/>
    <w:uiPriority w:val="39"/>
    <w:unhideWhenUsed/>
    <w:rsid w:val="009B1C74"/>
    <w:pPr>
      <w:ind w:left="220"/>
    </w:pPr>
    <w:rPr>
      <w:smallCaps/>
      <w:sz w:val="20"/>
      <w:szCs w:val="20"/>
    </w:rPr>
  </w:style>
  <w:style w:type="paragraph" w:styleId="TOC3">
    <w:name w:val="toc 3"/>
    <w:basedOn w:val="Normal"/>
    <w:next w:val="Normal"/>
    <w:autoRedefine/>
    <w:uiPriority w:val="39"/>
    <w:unhideWhenUsed/>
    <w:rsid w:val="00A902CD"/>
    <w:pPr>
      <w:tabs>
        <w:tab w:val="left" w:pos="1100"/>
        <w:tab w:val="right" w:leader="dot" w:pos="9054"/>
      </w:tabs>
      <w:ind w:left="440"/>
    </w:pPr>
    <w:rPr>
      <w:rFonts w:cs="Arial"/>
      <w:i/>
      <w:iCs/>
      <w:noProof/>
      <w:sz w:val="20"/>
      <w:szCs w:val="20"/>
    </w:rPr>
  </w:style>
  <w:style w:type="paragraph" w:styleId="TOC4">
    <w:name w:val="toc 4"/>
    <w:basedOn w:val="Normal"/>
    <w:next w:val="Normal"/>
    <w:autoRedefine/>
    <w:uiPriority w:val="39"/>
    <w:unhideWhenUsed/>
    <w:rsid w:val="00117BAA"/>
    <w:pPr>
      <w:ind w:left="660"/>
    </w:pPr>
    <w:rPr>
      <w:rFonts w:ascii="Calibri" w:hAnsi="Calibri"/>
      <w:sz w:val="18"/>
      <w:szCs w:val="18"/>
    </w:rPr>
  </w:style>
  <w:style w:type="paragraph" w:styleId="TOC5">
    <w:name w:val="toc 5"/>
    <w:basedOn w:val="Normal"/>
    <w:next w:val="Normal"/>
    <w:autoRedefine/>
    <w:uiPriority w:val="39"/>
    <w:unhideWhenUsed/>
    <w:rsid w:val="00117BAA"/>
    <w:pPr>
      <w:ind w:left="880"/>
    </w:pPr>
    <w:rPr>
      <w:rFonts w:ascii="Calibri" w:hAnsi="Calibri"/>
      <w:sz w:val="18"/>
      <w:szCs w:val="18"/>
    </w:rPr>
  </w:style>
  <w:style w:type="paragraph" w:styleId="TOC6">
    <w:name w:val="toc 6"/>
    <w:basedOn w:val="Normal"/>
    <w:next w:val="Normal"/>
    <w:autoRedefine/>
    <w:uiPriority w:val="39"/>
    <w:unhideWhenUsed/>
    <w:rsid w:val="00117BAA"/>
    <w:pPr>
      <w:ind w:left="1100"/>
    </w:pPr>
    <w:rPr>
      <w:rFonts w:ascii="Calibri" w:hAnsi="Calibri"/>
      <w:sz w:val="18"/>
      <w:szCs w:val="18"/>
    </w:rPr>
  </w:style>
  <w:style w:type="paragraph" w:styleId="TOC7">
    <w:name w:val="toc 7"/>
    <w:basedOn w:val="Normal"/>
    <w:next w:val="Normal"/>
    <w:autoRedefine/>
    <w:uiPriority w:val="39"/>
    <w:unhideWhenUsed/>
    <w:rsid w:val="00117BAA"/>
    <w:pPr>
      <w:ind w:left="1320"/>
    </w:pPr>
    <w:rPr>
      <w:rFonts w:ascii="Calibri" w:hAnsi="Calibri"/>
      <w:sz w:val="18"/>
      <w:szCs w:val="18"/>
    </w:rPr>
  </w:style>
  <w:style w:type="paragraph" w:styleId="TOC8">
    <w:name w:val="toc 8"/>
    <w:basedOn w:val="Normal"/>
    <w:next w:val="Normal"/>
    <w:autoRedefine/>
    <w:uiPriority w:val="39"/>
    <w:unhideWhenUsed/>
    <w:rsid w:val="00117BAA"/>
    <w:pPr>
      <w:ind w:left="1540"/>
    </w:pPr>
    <w:rPr>
      <w:rFonts w:ascii="Calibri" w:hAnsi="Calibri"/>
      <w:sz w:val="18"/>
      <w:szCs w:val="18"/>
    </w:rPr>
  </w:style>
  <w:style w:type="paragraph" w:styleId="TOC9">
    <w:name w:val="toc 9"/>
    <w:basedOn w:val="Normal"/>
    <w:next w:val="Normal"/>
    <w:autoRedefine/>
    <w:uiPriority w:val="39"/>
    <w:unhideWhenUsed/>
    <w:rsid w:val="00117BAA"/>
    <w:pPr>
      <w:ind w:left="1760"/>
    </w:pPr>
    <w:rPr>
      <w:rFonts w:ascii="Calibri" w:hAnsi="Calibri"/>
      <w:sz w:val="18"/>
      <w:szCs w:val="18"/>
    </w:rPr>
  </w:style>
  <w:style w:type="character" w:styleId="Hyperlink">
    <w:name w:val="Hyperlink"/>
    <w:basedOn w:val="DefaultParagraphFont"/>
    <w:uiPriority w:val="99"/>
    <w:unhideWhenUsed/>
    <w:rsid w:val="00117BAA"/>
    <w:rPr>
      <w:color w:val="0000FF"/>
      <w:u w:val="single"/>
    </w:rPr>
  </w:style>
  <w:style w:type="paragraph" w:customStyle="1" w:styleId="CIVHeadline1">
    <w:name w:val="CIV_Headline 1"/>
    <w:basedOn w:val="CHeadline22"/>
    <w:qFormat/>
    <w:rsid w:val="00981F40"/>
    <w:pPr>
      <w:numPr>
        <w:numId w:val="18"/>
      </w:numPr>
    </w:pPr>
    <w:rPr>
      <w:bCs/>
      <w:color w:val="004494"/>
    </w:rPr>
  </w:style>
  <w:style w:type="paragraph" w:customStyle="1" w:styleId="CIVHeadline2">
    <w:name w:val="CIV_Headline 2"/>
    <w:basedOn w:val="CHeadline14"/>
    <w:qFormat/>
    <w:rsid w:val="00981F40"/>
    <w:pPr>
      <w:numPr>
        <w:ilvl w:val="1"/>
        <w:numId w:val="18"/>
      </w:numPr>
    </w:pPr>
    <w:rPr>
      <w:bCs/>
      <w:color w:val="004494"/>
    </w:rPr>
  </w:style>
  <w:style w:type="paragraph" w:customStyle="1" w:styleId="CIVLeadText">
    <w:name w:val="CIV_Lead_Text"/>
    <w:basedOn w:val="CLeadtext13"/>
    <w:qFormat/>
    <w:rsid w:val="00981F40"/>
    <w:rPr>
      <w:color w:val="004494"/>
    </w:rPr>
  </w:style>
  <w:style w:type="paragraph" w:customStyle="1" w:styleId="TableText">
    <w:name w:val="Table Text"/>
    <w:basedOn w:val="Normal"/>
    <w:rsid w:val="003A107C"/>
    <w:pPr>
      <w:spacing w:before="60" w:after="60"/>
    </w:pPr>
    <w:rPr>
      <w:kern w:val="16"/>
      <w:sz w:val="18"/>
      <w:szCs w:val="20"/>
    </w:rPr>
  </w:style>
  <w:style w:type="paragraph" w:customStyle="1" w:styleId="Text">
    <w:name w:val="Text"/>
    <w:basedOn w:val="Normal"/>
    <w:rsid w:val="003A107C"/>
    <w:pPr>
      <w:spacing w:before="60" w:after="60"/>
    </w:pPr>
    <w:rPr>
      <w:kern w:val="16"/>
      <w:szCs w:val="20"/>
    </w:rPr>
  </w:style>
  <w:style w:type="character" w:customStyle="1" w:styleId="Heading4Char">
    <w:name w:val="Heading 4 Char"/>
    <w:basedOn w:val="DefaultParagraphFont"/>
    <w:link w:val="Heading4"/>
    <w:uiPriority w:val="9"/>
    <w:semiHidden/>
    <w:rsid w:val="00A9009C"/>
    <w:rPr>
      <w:rFonts w:ascii="Calibri" w:eastAsia="Times New Roman" w:hAnsi="Calibri" w:cs="Times New Roman"/>
      <w:b/>
      <w:bCs/>
      <w:sz w:val="28"/>
      <w:szCs w:val="28"/>
      <w:lang w:val="en-GB" w:eastAsia="de-DE"/>
    </w:rPr>
  </w:style>
  <w:style w:type="character" w:customStyle="1" w:styleId="Heading5Char">
    <w:name w:val="Heading 5 Char"/>
    <w:basedOn w:val="DefaultParagraphFont"/>
    <w:link w:val="Heading5"/>
    <w:uiPriority w:val="9"/>
    <w:semiHidden/>
    <w:rsid w:val="00A9009C"/>
    <w:rPr>
      <w:rFonts w:ascii="Calibri" w:eastAsia="Times New Roman" w:hAnsi="Calibri" w:cs="Times New Roman"/>
      <w:b/>
      <w:bCs/>
      <w:i/>
      <w:iCs/>
      <w:sz w:val="26"/>
      <w:szCs w:val="26"/>
      <w:lang w:val="en-GB" w:eastAsia="de-DE"/>
    </w:rPr>
  </w:style>
  <w:style w:type="character" w:customStyle="1" w:styleId="Heading6Char">
    <w:name w:val="Heading 6 Char"/>
    <w:basedOn w:val="DefaultParagraphFont"/>
    <w:link w:val="Heading6"/>
    <w:uiPriority w:val="9"/>
    <w:semiHidden/>
    <w:rsid w:val="00A9009C"/>
    <w:rPr>
      <w:rFonts w:ascii="Calibri" w:eastAsia="Times New Roman" w:hAnsi="Calibri" w:cs="Times New Roman"/>
      <w:b/>
      <w:bCs/>
      <w:sz w:val="22"/>
      <w:szCs w:val="22"/>
      <w:lang w:val="en-GB" w:eastAsia="de-DE"/>
    </w:rPr>
  </w:style>
  <w:style w:type="character" w:customStyle="1" w:styleId="Heading7Char">
    <w:name w:val="Heading 7 Char"/>
    <w:basedOn w:val="DefaultParagraphFont"/>
    <w:link w:val="Heading7"/>
    <w:uiPriority w:val="9"/>
    <w:semiHidden/>
    <w:rsid w:val="00A9009C"/>
    <w:rPr>
      <w:rFonts w:ascii="Calibri" w:eastAsia="Times New Roman" w:hAnsi="Calibri" w:cs="Times New Roman"/>
      <w:sz w:val="24"/>
      <w:szCs w:val="24"/>
      <w:lang w:val="en-GB" w:eastAsia="de-DE"/>
    </w:rPr>
  </w:style>
  <w:style w:type="character" w:customStyle="1" w:styleId="Heading8Char">
    <w:name w:val="Heading 8 Char"/>
    <w:basedOn w:val="DefaultParagraphFont"/>
    <w:link w:val="Heading8"/>
    <w:uiPriority w:val="9"/>
    <w:semiHidden/>
    <w:rsid w:val="00A9009C"/>
    <w:rPr>
      <w:rFonts w:ascii="Calibri" w:eastAsia="Times New Roman" w:hAnsi="Calibri" w:cs="Times New Roman"/>
      <w:i/>
      <w:iCs/>
      <w:sz w:val="24"/>
      <w:szCs w:val="24"/>
      <w:lang w:val="en-GB" w:eastAsia="de-DE"/>
    </w:rPr>
  </w:style>
  <w:style w:type="character" w:customStyle="1" w:styleId="Heading9Char">
    <w:name w:val="Heading 9 Char"/>
    <w:basedOn w:val="DefaultParagraphFont"/>
    <w:link w:val="Heading9"/>
    <w:uiPriority w:val="9"/>
    <w:semiHidden/>
    <w:rsid w:val="00A9009C"/>
    <w:rPr>
      <w:rFonts w:ascii="Cambria" w:eastAsia="Times New Roman" w:hAnsi="Cambria" w:cs="Times New Roman"/>
      <w:sz w:val="22"/>
      <w:szCs w:val="22"/>
      <w:lang w:val="en-GB" w:eastAsia="de-DE"/>
    </w:rPr>
  </w:style>
  <w:style w:type="paragraph" w:customStyle="1" w:styleId="CIVStandardBold">
    <w:name w:val="CIV_Standard_Bold"/>
    <w:basedOn w:val="Normal"/>
    <w:qFormat/>
    <w:rsid w:val="004E7C36"/>
    <w:pPr>
      <w:numPr>
        <w:ilvl w:val="2"/>
        <w:numId w:val="18"/>
      </w:numPr>
    </w:pPr>
    <w:rPr>
      <w:b/>
      <w:sz w:val="24"/>
    </w:rPr>
  </w:style>
  <w:style w:type="paragraph" w:customStyle="1" w:styleId="CStandard11">
    <w:name w:val="C_Standard_11"/>
    <w:basedOn w:val="Normal"/>
    <w:qFormat/>
    <w:rsid w:val="000B1974"/>
  </w:style>
  <w:style w:type="paragraph" w:styleId="BalloonText">
    <w:name w:val="Balloon Text"/>
    <w:basedOn w:val="Normal"/>
    <w:link w:val="BalloonTextChar"/>
    <w:uiPriority w:val="99"/>
    <w:semiHidden/>
    <w:unhideWhenUsed/>
    <w:rsid w:val="009940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063"/>
    <w:rPr>
      <w:rFonts w:ascii="Tahoma" w:hAnsi="Tahoma" w:cs="Tahoma"/>
      <w:sz w:val="16"/>
      <w:szCs w:val="16"/>
      <w:lang w:val="en-GB" w:eastAsia="de-DE"/>
    </w:rPr>
  </w:style>
  <w:style w:type="character" w:styleId="Emphasis">
    <w:name w:val="Emphasis"/>
    <w:basedOn w:val="DefaultParagraphFont"/>
    <w:uiPriority w:val="20"/>
    <w:qFormat/>
    <w:rsid w:val="00981F40"/>
    <w:rPr>
      <w:rFonts w:ascii="Arial" w:hAnsi="Arial"/>
      <w:i/>
      <w:iCs/>
    </w:rPr>
  </w:style>
  <w:style w:type="paragraph" w:styleId="Title">
    <w:name w:val="Title"/>
    <w:basedOn w:val="Normal"/>
    <w:next w:val="Normal"/>
    <w:link w:val="TitleChar"/>
    <w:uiPriority w:val="10"/>
    <w:qFormat/>
    <w:rsid w:val="000A5106"/>
    <w:pPr>
      <w:spacing w:before="0" w:after="0" w:line="240" w:lineRule="auto"/>
      <w:contextualSpacing/>
      <w:jc w:val="left"/>
    </w:pPr>
    <w:rPr>
      <w:rFonts w:asciiTheme="majorHAnsi" w:eastAsiaTheme="majorEastAsia" w:hAnsiTheme="majorHAnsi" w:cstheme="majorBidi"/>
      <w:spacing w:val="-10"/>
      <w:kern w:val="28"/>
      <w:sz w:val="56"/>
      <w:szCs w:val="56"/>
      <w:lang w:val="it-IT" w:eastAsia="en-US"/>
      <w14:ligatures w14:val="standardContextual"/>
    </w:rPr>
  </w:style>
  <w:style w:type="character" w:customStyle="1" w:styleId="TitleChar">
    <w:name w:val="Title Char"/>
    <w:basedOn w:val="DefaultParagraphFont"/>
    <w:link w:val="Title"/>
    <w:uiPriority w:val="10"/>
    <w:rsid w:val="000A5106"/>
    <w:rPr>
      <w:rFonts w:asciiTheme="majorHAnsi" w:eastAsiaTheme="majorEastAsia" w:hAnsiTheme="majorHAnsi" w:cstheme="majorBidi"/>
      <w:spacing w:val="-10"/>
      <w:kern w:val="28"/>
      <w:sz w:val="56"/>
      <w:szCs w:val="56"/>
      <w:lang w:val="it-IT" w:eastAsia="en-US"/>
      <w14:ligatures w14:val="standardContextual"/>
    </w:rPr>
  </w:style>
  <w:style w:type="paragraph" w:styleId="ListParagraph">
    <w:name w:val="List Paragraph"/>
    <w:basedOn w:val="Normal"/>
    <w:uiPriority w:val="34"/>
    <w:qFormat/>
    <w:rsid w:val="000A5106"/>
    <w:pPr>
      <w:spacing w:before="0" w:after="160" w:line="259" w:lineRule="auto"/>
      <w:ind w:left="720"/>
      <w:contextualSpacing/>
      <w:jc w:val="left"/>
    </w:pPr>
    <w:rPr>
      <w:rFonts w:asciiTheme="minorHAnsi" w:eastAsiaTheme="minorHAnsi" w:hAnsiTheme="minorHAnsi" w:cstheme="minorBidi"/>
      <w:kern w:val="2"/>
      <w:szCs w:val="22"/>
      <w:lang w:val="it-IT" w:eastAsia="en-US"/>
      <w14:ligatures w14:val="standardContextual"/>
    </w:rPr>
  </w:style>
  <w:style w:type="paragraph" w:styleId="FootnoteText">
    <w:name w:val="footnote text"/>
    <w:basedOn w:val="Normal"/>
    <w:link w:val="FootnoteTextChar"/>
    <w:uiPriority w:val="99"/>
    <w:semiHidden/>
    <w:unhideWhenUsed/>
    <w:rsid w:val="000A5106"/>
    <w:pPr>
      <w:spacing w:before="0" w:after="0" w:line="240" w:lineRule="auto"/>
      <w:jc w:val="left"/>
    </w:pPr>
    <w:rPr>
      <w:rFonts w:asciiTheme="minorHAnsi" w:eastAsiaTheme="minorHAnsi" w:hAnsiTheme="minorHAnsi" w:cstheme="minorBidi"/>
      <w:kern w:val="2"/>
      <w:sz w:val="20"/>
      <w:szCs w:val="20"/>
      <w:lang w:val="it-IT" w:eastAsia="en-US"/>
      <w14:ligatures w14:val="standardContextual"/>
    </w:rPr>
  </w:style>
  <w:style w:type="character" w:customStyle="1" w:styleId="FootnoteTextChar">
    <w:name w:val="Footnote Text Char"/>
    <w:basedOn w:val="DefaultParagraphFont"/>
    <w:link w:val="FootnoteText"/>
    <w:uiPriority w:val="99"/>
    <w:semiHidden/>
    <w:rsid w:val="000A5106"/>
    <w:rPr>
      <w:rFonts w:asciiTheme="minorHAnsi" w:eastAsiaTheme="minorHAnsi" w:hAnsiTheme="minorHAnsi" w:cstheme="minorBidi"/>
      <w:kern w:val="2"/>
      <w:lang w:val="it-IT" w:eastAsia="en-US"/>
      <w14:ligatures w14:val="standardContextual"/>
    </w:rPr>
  </w:style>
  <w:style w:type="character" w:styleId="FootnoteReference">
    <w:name w:val="footnote reference"/>
    <w:basedOn w:val="DefaultParagraphFont"/>
    <w:uiPriority w:val="99"/>
    <w:semiHidden/>
    <w:unhideWhenUsed/>
    <w:rsid w:val="000A5106"/>
    <w:rPr>
      <w:vertAlign w:val="superscript"/>
    </w:rPr>
  </w:style>
  <w:style w:type="character" w:styleId="CommentReference">
    <w:name w:val="annotation reference"/>
    <w:basedOn w:val="DefaultParagraphFont"/>
    <w:uiPriority w:val="99"/>
    <w:semiHidden/>
    <w:unhideWhenUsed/>
    <w:rsid w:val="000A5106"/>
    <w:rPr>
      <w:sz w:val="16"/>
      <w:szCs w:val="16"/>
    </w:rPr>
  </w:style>
  <w:style w:type="paragraph" w:styleId="CommentText">
    <w:name w:val="annotation text"/>
    <w:basedOn w:val="Normal"/>
    <w:link w:val="CommentTextChar"/>
    <w:uiPriority w:val="99"/>
    <w:unhideWhenUsed/>
    <w:rsid w:val="000A5106"/>
    <w:pPr>
      <w:spacing w:before="0" w:after="160" w:line="240" w:lineRule="auto"/>
      <w:jc w:val="left"/>
    </w:pPr>
    <w:rPr>
      <w:rFonts w:asciiTheme="minorHAnsi" w:eastAsiaTheme="minorHAnsi" w:hAnsiTheme="minorHAnsi" w:cstheme="minorBidi"/>
      <w:kern w:val="2"/>
      <w:sz w:val="20"/>
      <w:szCs w:val="20"/>
      <w:lang w:val="it-IT" w:eastAsia="en-US"/>
      <w14:ligatures w14:val="standardContextual"/>
    </w:rPr>
  </w:style>
  <w:style w:type="character" w:customStyle="1" w:styleId="CommentTextChar">
    <w:name w:val="Comment Text Char"/>
    <w:basedOn w:val="DefaultParagraphFont"/>
    <w:link w:val="CommentText"/>
    <w:uiPriority w:val="99"/>
    <w:rsid w:val="000A5106"/>
    <w:rPr>
      <w:rFonts w:asciiTheme="minorHAnsi" w:eastAsiaTheme="minorHAnsi" w:hAnsiTheme="minorHAnsi" w:cstheme="minorBidi"/>
      <w:kern w:val="2"/>
      <w:lang w:val="it-IT" w:eastAsia="en-US"/>
      <w14:ligatures w14:val="standardContextual"/>
    </w:rPr>
  </w:style>
  <w:style w:type="paragraph" w:styleId="Revision">
    <w:name w:val="Revision"/>
    <w:hidden/>
    <w:uiPriority w:val="71"/>
    <w:semiHidden/>
    <w:rsid w:val="000A5106"/>
    <w:rPr>
      <w:rFonts w:ascii="Arial" w:hAnsi="Arial"/>
      <w:sz w:val="22"/>
      <w:szCs w:val="24"/>
      <w:lang w:val="en-GB"/>
    </w:rPr>
  </w:style>
  <w:style w:type="table" w:styleId="GridTable1Light-Accent6">
    <w:name w:val="Grid Table 1 Light Accent 6"/>
    <w:basedOn w:val="TableNormal"/>
    <w:uiPriority w:val="46"/>
    <w:rsid w:val="001A1812"/>
    <w:tblPr>
      <w:tblStyleRowBandSize w:val="1"/>
      <w:tblStyleColBandSize w:val="1"/>
      <w:tblBorders>
        <w:top w:val="single" w:sz="4" w:space="0" w:color="999999" w:themeColor="accent6" w:themeTint="66"/>
        <w:left w:val="single" w:sz="4" w:space="0" w:color="999999" w:themeColor="accent6" w:themeTint="66"/>
        <w:bottom w:val="single" w:sz="4" w:space="0" w:color="999999" w:themeColor="accent6" w:themeTint="66"/>
        <w:right w:val="single" w:sz="4" w:space="0" w:color="999999" w:themeColor="accent6" w:themeTint="66"/>
        <w:insideH w:val="single" w:sz="4" w:space="0" w:color="999999" w:themeColor="accent6" w:themeTint="66"/>
        <w:insideV w:val="single" w:sz="4" w:space="0" w:color="999999" w:themeColor="accent6" w:themeTint="66"/>
      </w:tblBorders>
    </w:tblPr>
    <w:tblStylePr w:type="firstRow">
      <w:rPr>
        <w:b/>
        <w:bCs/>
      </w:rPr>
      <w:tblPr/>
      <w:tcPr>
        <w:tcBorders>
          <w:bottom w:val="single" w:sz="12" w:space="0" w:color="666666" w:themeColor="accent6" w:themeTint="99"/>
        </w:tcBorders>
      </w:tcPr>
    </w:tblStylePr>
    <w:tblStylePr w:type="lastRow">
      <w:rPr>
        <w:b/>
        <w:bCs/>
      </w:rPr>
      <w:tblPr/>
      <w:tcPr>
        <w:tcBorders>
          <w:top w:val="double" w:sz="2" w:space="0" w:color="666666"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1A18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1A18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3-Accent5">
    <w:name w:val="Grid Table 3 Accent 5"/>
    <w:basedOn w:val="TableNormal"/>
    <w:uiPriority w:val="48"/>
    <w:rsid w:val="001A18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CommentSubject">
    <w:name w:val="annotation subject"/>
    <w:basedOn w:val="CommentText"/>
    <w:next w:val="CommentText"/>
    <w:link w:val="CommentSubjectChar"/>
    <w:uiPriority w:val="99"/>
    <w:semiHidden/>
    <w:unhideWhenUsed/>
    <w:rsid w:val="00703FA7"/>
    <w:pPr>
      <w:spacing w:before="120" w:after="120"/>
      <w:jc w:val="both"/>
    </w:pPr>
    <w:rPr>
      <w:rFonts w:ascii="Arial" w:eastAsia="Times New Roman" w:hAnsi="Arial" w:cs="Times New Roman"/>
      <w:b/>
      <w:bCs/>
      <w:kern w:val="0"/>
      <w:lang w:val="en-GB" w:eastAsia="de-DE"/>
      <w14:ligatures w14:val="none"/>
    </w:rPr>
  </w:style>
  <w:style w:type="character" w:customStyle="1" w:styleId="CommentSubjectChar">
    <w:name w:val="Comment Subject Char"/>
    <w:basedOn w:val="CommentTextChar"/>
    <w:link w:val="CommentSubject"/>
    <w:uiPriority w:val="99"/>
    <w:semiHidden/>
    <w:rsid w:val="00703FA7"/>
    <w:rPr>
      <w:rFonts w:ascii="Arial" w:eastAsiaTheme="minorHAnsi" w:hAnsi="Arial" w:cstheme="minorBidi"/>
      <w:b/>
      <w:bCs/>
      <w:kern w:val="2"/>
      <w:lang w:val="en-GB" w:eastAsia="en-US"/>
      <w14:ligatures w14:val="standardContextual"/>
    </w:rPr>
  </w:style>
  <w:style w:type="table" w:styleId="GridTable7Colorful-Accent6">
    <w:name w:val="Grid Table 7 Colorful Accent 6"/>
    <w:basedOn w:val="TableNormal"/>
    <w:uiPriority w:val="52"/>
    <w:rsid w:val="00F25EC6"/>
    <w:rPr>
      <w:color w:val="000000" w:themeColor="accent6" w:themeShade="BF"/>
    </w:rPr>
    <w:tblPr>
      <w:tblStyleRowBandSize w:val="1"/>
      <w:tblStyleColBandSize w:val="1"/>
      <w:tblBorders>
        <w:top w:val="single" w:sz="4" w:space="0" w:color="666666" w:themeColor="accent6" w:themeTint="99"/>
        <w:left w:val="single" w:sz="4" w:space="0" w:color="666666" w:themeColor="accent6" w:themeTint="99"/>
        <w:bottom w:val="single" w:sz="4" w:space="0" w:color="666666" w:themeColor="accent6" w:themeTint="99"/>
        <w:right w:val="single" w:sz="4" w:space="0" w:color="666666" w:themeColor="accent6" w:themeTint="99"/>
        <w:insideH w:val="single" w:sz="4" w:space="0" w:color="666666" w:themeColor="accent6" w:themeTint="99"/>
        <w:insideV w:val="single" w:sz="4" w:space="0" w:color="6666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6" w:themeFillTint="33"/>
      </w:tcPr>
    </w:tblStylePr>
    <w:tblStylePr w:type="band1Horz">
      <w:tblPr/>
      <w:tcPr>
        <w:shd w:val="clear" w:color="auto" w:fill="CCCCCC" w:themeFill="accent6" w:themeFillTint="33"/>
      </w:tcPr>
    </w:tblStylePr>
    <w:tblStylePr w:type="neCell">
      <w:tblPr/>
      <w:tcPr>
        <w:tcBorders>
          <w:bottom w:val="single" w:sz="4" w:space="0" w:color="666666" w:themeColor="accent6" w:themeTint="99"/>
        </w:tcBorders>
      </w:tcPr>
    </w:tblStylePr>
    <w:tblStylePr w:type="nwCell">
      <w:tblPr/>
      <w:tcPr>
        <w:tcBorders>
          <w:bottom w:val="single" w:sz="4" w:space="0" w:color="666666" w:themeColor="accent6" w:themeTint="99"/>
        </w:tcBorders>
      </w:tcPr>
    </w:tblStylePr>
    <w:tblStylePr w:type="seCell">
      <w:tblPr/>
      <w:tcPr>
        <w:tcBorders>
          <w:top w:val="single" w:sz="4" w:space="0" w:color="666666" w:themeColor="accent6" w:themeTint="99"/>
        </w:tcBorders>
      </w:tcPr>
    </w:tblStylePr>
    <w:tblStylePr w:type="swCell">
      <w:tblPr/>
      <w:tcPr>
        <w:tcBorders>
          <w:top w:val="single" w:sz="4" w:space="0" w:color="666666" w:themeColor="accent6" w:themeTint="99"/>
        </w:tcBorders>
      </w:tcPr>
    </w:tblStylePr>
  </w:style>
  <w:style w:type="table" w:styleId="PlainTable3">
    <w:name w:val="Plain Table 3"/>
    <w:basedOn w:val="TableNormal"/>
    <w:uiPriority w:val="43"/>
    <w:rsid w:val="008472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9540">
      <w:bodyDiv w:val="1"/>
      <w:marLeft w:val="0"/>
      <w:marRight w:val="0"/>
      <w:marTop w:val="0"/>
      <w:marBottom w:val="0"/>
      <w:divBdr>
        <w:top w:val="none" w:sz="0" w:space="0" w:color="auto"/>
        <w:left w:val="none" w:sz="0" w:space="0" w:color="auto"/>
        <w:bottom w:val="none" w:sz="0" w:space="0" w:color="auto"/>
        <w:right w:val="none" w:sz="0" w:space="0" w:color="auto"/>
      </w:divBdr>
    </w:div>
    <w:div w:id="217787462">
      <w:bodyDiv w:val="1"/>
      <w:marLeft w:val="0"/>
      <w:marRight w:val="0"/>
      <w:marTop w:val="0"/>
      <w:marBottom w:val="0"/>
      <w:divBdr>
        <w:top w:val="none" w:sz="0" w:space="0" w:color="auto"/>
        <w:left w:val="none" w:sz="0" w:space="0" w:color="auto"/>
        <w:bottom w:val="none" w:sz="0" w:space="0" w:color="auto"/>
        <w:right w:val="none" w:sz="0" w:space="0" w:color="auto"/>
      </w:divBdr>
    </w:div>
    <w:div w:id="1564870741">
      <w:bodyDiv w:val="1"/>
      <w:marLeft w:val="0"/>
      <w:marRight w:val="0"/>
      <w:marTop w:val="0"/>
      <w:marBottom w:val="0"/>
      <w:divBdr>
        <w:top w:val="none" w:sz="0" w:space="0" w:color="auto"/>
        <w:left w:val="none" w:sz="0" w:space="0" w:color="auto"/>
        <w:bottom w:val="none" w:sz="0" w:space="0" w:color="auto"/>
        <w:right w:val="none" w:sz="0" w:space="0" w:color="auto"/>
      </w:divBdr>
    </w:div>
    <w:div w:id="1610116244">
      <w:bodyDiv w:val="1"/>
      <w:marLeft w:val="0"/>
      <w:marRight w:val="0"/>
      <w:marTop w:val="0"/>
      <w:marBottom w:val="0"/>
      <w:divBdr>
        <w:top w:val="none" w:sz="0" w:space="0" w:color="auto"/>
        <w:left w:val="none" w:sz="0" w:space="0" w:color="auto"/>
        <w:bottom w:val="none" w:sz="0" w:space="0" w:color="auto"/>
        <w:right w:val="none" w:sz="0" w:space="0" w:color="auto"/>
      </w:divBdr>
    </w:div>
    <w:div w:id="1675113293">
      <w:bodyDiv w:val="1"/>
      <w:marLeft w:val="0"/>
      <w:marRight w:val="0"/>
      <w:marTop w:val="0"/>
      <w:marBottom w:val="0"/>
      <w:divBdr>
        <w:top w:val="none" w:sz="0" w:space="0" w:color="auto"/>
        <w:left w:val="none" w:sz="0" w:space="0" w:color="auto"/>
        <w:bottom w:val="none" w:sz="0" w:space="0" w:color="auto"/>
        <w:right w:val="none" w:sz="0" w:space="0" w:color="auto"/>
      </w:divBdr>
    </w:div>
    <w:div w:id="175304660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s\AppData\Local\Temp\SATELLITE%20Report%20Template-1.dotx" TargetMode="External"/></Relationships>
</file>

<file path=word/theme/theme1.xml><?xml version="1.0" encoding="utf-8"?>
<a:theme xmlns:a="http://schemas.openxmlformats.org/drawingml/2006/main" name="Office Theme">
  <a:themeElements>
    <a:clrScheme name="CIVITAS_SAT">
      <a:dk1>
        <a:sysClr val="windowText" lastClr="000000"/>
      </a:dk1>
      <a:lt1>
        <a:sysClr val="window" lastClr="FFFFFF"/>
      </a:lt1>
      <a:dk2>
        <a:srgbClr val="134095"/>
      </a:dk2>
      <a:lt2>
        <a:srgbClr val="E7E6E6"/>
      </a:lt2>
      <a:accent1>
        <a:srgbClr val="00A3E7"/>
      </a:accent1>
      <a:accent2>
        <a:srgbClr val="D9DADB"/>
      </a:accent2>
      <a:accent3>
        <a:srgbClr val="FFFF00"/>
      </a:accent3>
      <a:accent4>
        <a:srgbClr val="FFFF99"/>
      </a:accent4>
      <a:accent5>
        <a:srgbClr val="4472C4"/>
      </a:accent5>
      <a:accent6>
        <a:srgbClr val="000000"/>
      </a:accent6>
      <a:hlink>
        <a:srgbClr val="134095"/>
      </a:hlink>
      <a:folHlink>
        <a:srgbClr val="00A3E7"/>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68814787A2E4429CF46260F8617500" ma:contentTypeVersion="0" ma:contentTypeDescription="Create a new document." ma:contentTypeScope="" ma:versionID="af22a15e5ffb6242942b570345f63ab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EA3281F-54FA-4A5C-96A4-845EEF86C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E9D281-45C9-4CE7-B481-749058020ED5}">
  <ds:schemaRefs>
    <ds:schemaRef ds:uri="http://schemas.openxmlformats.org/officeDocument/2006/bibliography"/>
  </ds:schemaRefs>
</ds:datastoreItem>
</file>

<file path=customXml/itemProps3.xml><?xml version="1.0" encoding="utf-8"?>
<ds:datastoreItem xmlns:ds="http://schemas.openxmlformats.org/officeDocument/2006/customXml" ds:itemID="{AFFD5CC4-CB4F-4A5D-969F-B7853579B565}">
  <ds:schemaRefs>
    <ds:schemaRef ds:uri="http://schemas.microsoft.com/sharepoint/v3/contenttype/forms"/>
  </ds:schemaRefs>
</ds:datastoreItem>
</file>

<file path=customXml/itemProps4.xml><?xml version="1.0" encoding="utf-8"?>
<ds:datastoreItem xmlns:ds="http://schemas.openxmlformats.org/officeDocument/2006/customXml" ds:itemID="{DF17CE8E-32A7-45EE-89F5-7EA820C67387}">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SATELLITE Report Template-1</Template>
  <TotalTime>557</TotalTime>
  <Pages>3</Pages>
  <Words>644</Words>
  <Characters>3877</Characters>
  <Application>Microsoft Office Word</Application>
  <DocSecurity>0</DocSecurity>
  <Lines>32</Lines>
  <Paragraphs>9</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C_Subline_13: masox am doku</vt:lpstr>
      <vt:lpstr>C_Subline_13: masox am doku</vt:lpstr>
      <vt:lpstr>C_Subline_13: masox am doku</vt:lpstr>
    </vt:vector>
  </TitlesOfParts>
  <Company>Iclei</Company>
  <LinksUpToDate>false</LinksUpToDate>
  <CharactersWithSpaces>4512</CharactersWithSpaces>
  <SharedDoc>false</SharedDoc>
  <HLinks>
    <vt:vector size="36" baseType="variant">
      <vt:variant>
        <vt:i4>1245233</vt:i4>
      </vt:variant>
      <vt:variant>
        <vt:i4>38</vt:i4>
      </vt:variant>
      <vt:variant>
        <vt:i4>0</vt:i4>
      </vt:variant>
      <vt:variant>
        <vt:i4>5</vt:i4>
      </vt:variant>
      <vt:variant>
        <vt:lpwstr/>
      </vt:variant>
      <vt:variant>
        <vt:lpwstr>_Toc352166668</vt:lpwstr>
      </vt:variant>
      <vt:variant>
        <vt:i4>1245233</vt:i4>
      </vt:variant>
      <vt:variant>
        <vt:i4>29</vt:i4>
      </vt:variant>
      <vt:variant>
        <vt:i4>0</vt:i4>
      </vt:variant>
      <vt:variant>
        <vt:i4>5</vt:i4>
      </vt:variant>
      <vt:variant>
        <vt:lpwstr/>
      </vt:variant>
      <vt:variant>
        <vt:lpwstr>_Toc352166665</vt:lpwstr>
      </vt:variant>
      <vt:variant>
        <vt:i4>1179697</vt:i4>
      </vt:variant>
      <vt:variant>
        <vt:i4>20</vt:i4>
      </vt:variant>
      <vt:variant>
        <vt:i4>0</vt:i4>
      </vt:variant>
      <vt:variant>
        <vt:i4>5</vt:i4>
      </vt:variant>
      <vt:variant>
        <vt:lpwstr/>
      </vt:variant>
      <vt:variant>
        <vt:lpwstr>_Toc352166675</vt:lpwstr>
      </vt:variant>
      <vt:variant>
        <vt:i4>1179697</vt:i4>
      </vt:variant>
      <vt:variant>
        <vt:i4>14</vt:i4>
      </vt:variant>
      <vt:variant>
        <vt:i4>0</vt:i4>
      </vt:variant>
      <vt:variant>
        <vt:i4>5</vt:i4>
      </vt:variant>
      <vt:variant>
        <vt:lpwstr/>
      </vt:variant>
      <vt:variant>
        <vt:lpwstr>_Toc352166674</vt:lpwstr>
      </vt:variant>
      <vt:variant>
        <vt:i4>1179697</vt:i4>
      </vt:variant>
      <vt:variant>
        <vt:i4>8</vt:i4>
      </vt:variant>
      <vt:variant>
        <vt:i4>0</vt:i4>
      </vt:variant>
      <vt:variant>
        <vt:i4>5</vt:i4>
      </vt:variant>
      <vt:variant>
        <vt:lpwstr/>
      </vt:variant>
      <vt:variant>
        <vt:lpwstr>_Toc352166673</vt:lpwstr>
      </vt:variant>
      <vt:variant>
        <vt:i4>1179697</vt:i4>
      </vt:variant>
      <vt:variant>
        <vt:i4>2</vt:i4>
      </vt:variant>
      <vt:variant>
        <vt:i4>0</vt:i4>
      </vt:variant>
      <vt:variant>
        <vt:i4>5</vt:i4>
      </vt:variant>
      <vt:variant>
        <vt:lpwstr/>
      </vt:variant>
      <vt:variant>
        <vt:lpwstr>_Toc352166672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C_Subline_13: masox am doku</dc:title>
  <dc:creator>Richard Adams</dc:creator>
  <cp:lastModifiedBy>Lorenzo Cammarota</cp:lastModifiedBy>
  <cp:revision>19</cp:revision>
  <cp:lastPrinted>2024-07-15T13:20:00Z</cp:lastPrinted>
  <dcterms:created xsi:type="dcterms:W3CDTF">2024-08-27T06:48:00Z</dcterms:created>
  <dcterms:modified xsi:type="dcterms:W3CDTF">2025-03-13T13:36:00Z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0x010100B468814787A2E4429CF46260F8617500</vt:lpwstr>
  </property>
</Properties>
</file>