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C0392B"/>
          <w:sz w:val="56"/>
          <w:szCs w:val="56"/>
        </w:rPr>
        <w:t xml:space="preserve">RED BULL BOX CART RACE</w:t>
      </w:r>
    </w:p>
    <w:p>
      <w:pPr>
        <w:spacing w:after="0"/>
        <w:jc w:val="center"/>
      </w:pPr>
      <w:r>
        <w:rPr>
          <w:b/>
          <w:bCs/>
          <w:color w:val="1A1A1A"/>
          <w:sz w:val="32"/>
          <w:szCs w:val="32"/>
        </w:rPr>
        <w:t xml:space="preserve">Johannesburg 2026 — Sandton Drive</w:t>
      </w:r>
    </w:p>
    <w:p>
      <w:pPr>
        <w:spacing w:after="0" w:before="480"/>
        <w:jc w:val="center"/>
      </w:pPr>
      <w:r>
        <w:rPr>
          <w:color w:val="5F5E5A"/>
          <w:sz w:val="30"/>
          <w:szCs w:val="30"/>
        </w:rPr>
        <w:t xml:space="preserve">Team Build &amp; Sponsorship Handbook</w:t>
      </w:r>
    </w:p>
    <w:p>
      <w:pPr>
        <w:spacing w:after="0" w:before="120"/>
        <w:jc w:val="center"/>
      </w:pPr>
      <w:r>
        <w:rPr>
          <w:i/>
          <w:iCs/>
          <w:color w:val="5F5E5A"/>
          <w:sz w:val="22"/>
          <w:szCs w:val="22"/>
        </w:rPr>
        <w:t xml:space="preserve">Concept: domestic gas heater cart with a gas-cylinder driver and a speed-driven “igniting panel” effect</w:t>
      </w:r>
    </w:p>
    <w:p>
      <w:pPr>
        <w:spacing w:after="0" w:before="1600"/>
        <w:jc w:val="center"/>
      </w:pPr>
      <w:r>
        <w:rPr>
          <w:color w:val="5F5E5A"/>
          <w:sz w:val="20"/>
          <w:szCs w:val="20"/>
        </w:rPr>
        <w:t xml:space="preserve">Working document · compiled 17 June 2026</w:t>
      </w:r>
    </w:p>
    <w:p>
      <w:pPr>
        <w:spacing w:after="0" w:before="80"/>
        <w:jc w:val="center"/>
      </w:pPr>
      <w:r>
        <w:rPr>
          <w:color w:val="5F5E5A"/>
          <w:sz w:val="18"/>
          <w:szCs w:val="18"/>
        </w:rPr>
        <w:t xml:space="preserve">Every key fact is referenced [n] to the Sources list (Section 13).</w:t>
      </w:r>
    </w:p>
    <w:p>
      <w:pPr>
        <w:spacing w:after="0" w:before="20"/>
        <w:jc w:val="center"/>
      </w:pPr>
      <w:r>
        <w:rPr>
          <w:color w:val="C0392B"/>
          <w:sz w:val="18"/>
          <w:szCs w:val="18"/>
        </w:rPr>
        <w:t xml:space="preserve">Items marked ⚠ must be confirmed before you commit money or time.</w:t>
      </w:r>
    </w:p>
    <w:p>
      <w:r>
        <w:br w:type="page"/>
      </w:r>
    </w:p>
    <w:p>
      <w:pPr>
        <w:pStyle w:val="Heading1"/>
      </w:pPr>
      <w:r>
        <w:t xml:space="preserve">How to use this document</w:t>
      </w:r>
    </w:p>
    <w:p>
      <w:pPr>
        <w:spacing w:after="120" w:line="276"/>
      </w:pPr>
      <w:r>
        <w:t xml:space="preserve">This is a working handbook, not marketing copy. It is built to be accurate and checkable. </w:t>
      </w:r>
      <w:r>
        <w:rPr>
          <w:b/>
          <w:bCs/>
        </w:rPr>
        <w:t xml:space="preserve">Three conventions matter:</w:t>
      </w:r>
    </w:p>
    <w:p>
      <w:pPr>
        <w:pStyle w:val="ListParagraph"/>
        <w:numPr>
          <w:ilvl w:val="0"/>
          <w:numId w:val="2"/>
        </w:numPr>
        <w:spacing w:after="60" w:line="264"/>
      </w:pPr>
      <w:r>
        <w:rPr>
          <w:b/>
          <w:bCs/>
        </w:rPr>
        <w:t xml:space="preserve">References. </w:t>
      </w:r>
      <w:r>
        <w:t xml:space="preserve">A superscript number like </w:t>
      </w:r>
      <w:r>
        <w:rPr>
          <w:color w:val="C0392B"/>
          <w:vertAlign w:val="superscript"/>
        </w:rPr>
        <w:t xml:space="preserve">[1]</w:t>
      </w:r>
      <w:r>
        <w:t xml:space="preserve"> points to a named source in Section 13. Claims drawn from a source carry one.</w:t>
      </w:r>
    </w:p>
    <w:p>
      <w:pPr>
        <w:pStyle w:val="ListParagraph"/>
        <w:numPr>
          <w:ilvl w:val="0"/>
          <w:numId w:val="2"/>
        </w:numPr>
        <w:spacing w:after="60" w:line="264"/>
      </w:pPr>
      <w:r>
        <w:rPr>
          <w:b/>
          <w:bCs/>
        </w:rPr>
        <w:t xml:space="preserve">Confirm-before-you-commit flags. </w:t>
      </w:r>
      <w:r>
        <w:t xml:space="preserve">The ⚠ symbol marks anything that conflicts across official sources or is a market estimate rather than a confirmed figure. Verify these directly before relying on them.</w:t>
      </w:r>
    </w:p>
    <w:p>
      <w:pPr>
        <w:pStyle w:val="ListParagraph"/>
        <w:numPr>
          <w:ilvl w:val="0"/>
          <w:numId w:val="2"/>
        </w:numPr>
        <w:spacing w:after="60" w:line="264"/>
      </w:pPr>
      <w:r>
        <w:rPr>
          <w:b/>
          <w:bCs/>
        </w:rPr>
        <w:t xml:space="preserve">No invented facts. </w:t>
      </w:r>
      <w:r>
        <w:t xml:space="preserve">Where a number could not be confirmed (some local prices, the exact race date), the document says so plainly rather than guessing.</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4"/>
              <w:left w:val="single" w:color="E67E22" w:sz="12"/>
              <w:bottom w:val="single" w:color="E67E22" w:sz="4"/>
              <w:right w:val="single" w:color="E67E22" w:sz="4"/>
            </w:tcBorders>
            <w:shd w:fill="FBE9D0" w:val="clear"/>
            <w:tcMar>
              <w:top w:type="dxa" w:w="120"/>
              <w:left w:type="dxa" w:w="160"/>
              <w:bottom w:type="dxa" w:w="120"/>
              <w:right w:type="dxa" w:w="160"/>
            </w:tcMar>
          </w:tcPr>
          <w:p>
            <w:pPr>
              <w:spacing w:after="80" w:line="264"/>
            </w:pPr>
            <w:r>
              <w:rPr>
                <w:b/>
                <w:bCs/>
                <w:color w:val="C0392B"/>
              </w:rPr>
              <w:t xml:space="preserve">⚠ Two things to resolve first, because Red Bull’s own pages disagree:</w:t>
            </w:r>
          </w:p>
          <w:p>
            <w:pPr>
              <w:spacing w:after="80" w:line="264"/>
            </w:pPr>
            <w:r>
              <w:rPr>
                <w:b/>
                <w:bCs/>
              </w:rPr>
              <w:t xml:space="preserve">Race date. </w:t>
            </w:r>
            <w:r>
              <w:t xml:space="preserve">Red Bull’s “How to Apply” event page lists </w:t>
            </w:r>
            <w:r>
              <w:rPr>
                <w:b/>
                <w:bCs/>
              </w:rPr>
              <w:t xml:space="preserve">Sunday 20 September 2026</w:t>
            </w:r>
            <w:r>
              <w:t xml:space="preserve"> [2], while Red Bull’s own editorial article lists </w:t>
            </w:r>
            <w:r>
              <w:rPr>
                <w:b/>
                <w:bCs/>
              </w:rPr>
              <w:t xml:space="preserve">Sunday 27 September 2026</w:t>
            </w:r>
            <w:r>
              <w:t xml:space="preserve"> [3]. HYPE Magazine repeats 20 September [4]. Treat the date as “20 or 27 September — unconfirmed” until the application portal confirms it.</w:t>
            </w:r>
          </w:p>
          <w:p>
            <w:pPr>
              <w:spacing w:after="0" w:line="264"/>
            </w:pPr>
            <w:r>
              <w:rPr>
                <w:b/>
                <w:bCs/>
              </w:rPr>
              <w:t xml:space="preserve">Application deadline. </w:t>
            </w:r>
            <w:r>
              <w:t xml:space="preserve">Applications are open now [2][3]. Reported close dates have varied (early July) across coverage. Apply early and read the deadline off the portal itself.</w:t>
            </w:r>
          </w:p>
        </w:tc>
      </w:tr>
    </w:tbl>
    <w:p>
      <w:pPr>
        <w:pStyle w:val="Heading1"/>
        <w:pageBreakBefore/>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Event overview and the facts that shape every decision</w:t>
      </w:r>
    </w:p>
    <w:p>
      <w:pPr>
        <w:spacing w:after="120" w:line="276"/>
      </w:pPr>
      <w:r>
        <w:t xml:space="preserve">Red Bull Box Cart Race is the South African name for the global Red Bull Soapbox Race — amateur teams build hand-made, engine-free carts and race them down a hill past jumps and obstacles, scored as much on creativity and showmanship as on speed.</w:t>
      </w:r>
    </w:p>
    <w:p>
      <w:pPr>
        <w:spacing w:after="120" w:line="276"/>
      </w:pPr>
      <w:r>
        <w:t xml:space="preserve">The 2026 edition runs on </w:t>
      </w:r>
      <w:r>
        <w:rPr>
          <w:b/>
          <w:bCs/>
        </w:rPr>
        <w:t xml:space="preserve">Sandton Drive, Johannesburg</w:t>
      </w:r>
      <w:r>
        <w:t xml:space="preserve">, and is free for spectators</w:t>
      </w:r>
      <w:r>
        <w:rPr>
          <w:color w:val="C0392B"/>
          <w:vertAlign w:val="superscript"/>
        </w:rPr>
        <w:t xml:space="preserve"> [3]</w:t>
      </w:r>
      <w:r>
        <w:t xml:space="preserve">. Johannesburg last hosted on Sandton Drive in 2018, when 80 teams raced in front of thousands</w:t>
      </w:r>
      <w:r>
        <w:rPr>
          <w:color w:val="C0392B"/>
          <w:vertAlign w:val="superscript"/>
        </w:rPr>
        <w:t xml:space="preserve"> [3]</w:t>
      </w:r>
      <w:r>
        <w:t xml:space="preserve">. South Africa is still the only African country to have hosted the event</w:t>
      </w:r>
      <w:r>
        <w:rPr>
          <w:color w:val="C0392B"/>
          <w:vertAlign w:val="superscript"/>
        </w:rPr>
        <w:t xml:space="preserve"> [3]</w:t>
      </w:r>
      <w:r>
        <w:t xml:space="preserve">.</w:t>
      </w:r>
    </w:p>
    <w:p>
      <w:pPr>
        <w:pStyle w:val="Heading2"/>
      </w:pPr>
      <w:r>
        <w:t xml:space="preserve">1.1 The non-negotiable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6326"/>
        <w:gridCol w:w="800"/>
      </w:tblGrid>
      <w:tr>
        <w:trPr>
          <w:tblHeader/>
        </w:trPr>
        <w:tc>
          <w:tcPr>
            <w:tcW w:type="dxa" w:w="1900"/>
            <w:tcBorders>
              <w:top w:val="single" w:color="CCCCCC" w:sz="1"/>
              <w:left w:val="single" w:color="CCCCCC" w:sz="1"/>
              <w:bottom w:val="single" w:color="CCCCCC" w:sz="1"/>
              <w:right w:val="single" w:color="CCCCCC" w:sz="1"/>
            </w:tcBorders>
            <w:shd w:fill="FAE3DF" w:val="clear"/>
            <w:tcMar>
              <w:top w:type="dxa" w:w="70"/>
              <w:left w:type="dxa" w:w="110"/>
              <w:bottom w:type="dxa" w:w="70"/>
              <w:right w:type="dxa" w:w="110"/>
            </w:tcMar>
          </w:tcPr>
          <w:p>
            <w:pPr>
              <w:spacing w:after="0"/>
            </w:pPr>
            <w:r>
              <w:rPr>
                <w:b/>
                <w:bCs/>
              </w:rPr>
              <w:t xml:space="preserve">Item</w:t>
            </w:r>
          </w:p>
        </w:tc>
        <w:tc>
          <w:tcPr>
            <w:tcW w:type="dxa" w:w="6326"/>
            <w:tcBorders>
              <w:top w:val="single" w:color="CCCCCC" w:sz="1"/>
              <w:left w:val="single" w:color="CCCCCC" w:sz="1"/>
              <w:bottom w:val="single" w:color="CCCCCC" w:sz="1"/>
              <w:right w:val="single" w:color="CCCCCC" w:sz="1"/>
            </w:tcBorders>
            <w:shd w:fill="FAE3DF" w:val="clear"/>
            <w:tcMar>
              <w:top w:type="dxa" w:w="70"/>
              <w:left w:type="dxa" w:w="110"/>
              <w:bottom w:type="dxa" w:w="70"/>
              <w:right w:type="dxa" w:w="110"/>
            </w:tcMar>
          </w:tcPr>
          <w:p>
            <w:pPr>
              <w:spacing w:after="0"/>
            </w:pPr>
            <w:r>
              <w:rPr>
                <w:b/>
                <w:bCs/>
              </w:rPr>
              <w:t xml:space="preserve">What the official source says</w:t>
            </w:r>
          </w:p>
        </w:tc>
        <w:tc>
          <w:tcPr>
            <w:tcW w:type="dxa" w:w="800"/>
            <w:tcBorders>
              <w:top w:val="single" w:color="CCCCCC" w:sz="1"/>
              <w:left w:val="single" w:color="CCCCCC" w:sz="1"/>
              <w:bottom w:val="single" w:color="CCCCCC" w:sz="1"/>
              <w:right w:val="single" w:color="CCCCCC" w:sz="1"/>
            </w:tcBorders>
            <w:shd w:fill="FAE3DF" w:val="clear"/>
            <w:tcMar>
              <w:top w:type="dxa" w:w="70"/>
              <w:left w:type="dxa" w:w="110"/>
              <w:bottom w:type="dxa" w:w="70"/>
              <w:right w:type="dxa" w:w="110"/>
            </w:tcMar>
          </w:tcPr>
          <w:p>
            <w:pPr>
              <w:spacing w:after="0"/>
            </w:pPr>
            <w:r>
              <w:rPr>
                <w:b/>
                <w:bCs/>
              </w:rPr>
              <w:t xml:space="preserve">Ref</w:t>
            </w:r>
          </w:p>
        </w:tc>
      </w:tr>
      <w:tr>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Venue</w:t>
            </w:r>
          </w:p>
        </w:tc>
        <w:tc>
          <w:tcPr>
            <w:tcW w:type="dxa" w:w="6326"/>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Sandton Drive, Johannesburg (steep downhill, with jumps and obstacles)</w:t>
            </w:r>
          </w:p>
        </w:tc>
        <w:tc>
          <w:tcPr>
            <w:tcW w:type="dxa" w:w="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[3]</w:t>
            </w:r>
          </w:p>
        </w:tc>
      </w:tr>
      <w:tr>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Date</w:t>
            </w:r>
          </w:p>
        </w:tc>
        <w:tc>
          <w:tcPr>
            <w:tcW w:type="dxa" w:w="6326"/>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 20 September 2026 (apply page) OR 27 September 2026 (editorial) — confirm on portal</w:t>
            </w:r>
          </w:p>
        </w:tc>
        <w:tc>
          <w:tcPr>
            <w:tcW w:type="dxa" w:w="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[2][3][4]</w:t>
            </w:r>
          </w:p>
        </w:tc>
      </w:tr>
      <w:tr>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Spectator entry</w:t>
            </w:r>
          </w:p>
        </w:tc>
        <w:tc>
          <w:tcPr>
            <w:tcW w:type="dxa" w:w="6326"/>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Free</w:t>
            </w:r>
          </w:p>
        </w:tc>
        <w:tc>
          <w:tcPr>
            <w:tcW w:type="dxa" w:w="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[3]</w:t>
            </w:r>
          </w:p>
        </w:tc>
      </w:tr>
      <w:tr>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Team size</w:t>
            </w:r>
          </w:p>
        </w:tc>
        <w:tc>
          <w:tcPr>
            <w:tcW w:type="dxa" w:w="6326"/>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Teams of up to five people</w:t>
            </w:r>
          </w:p>
        </w:tc>
        <w:tc>
          <w:tcPr>
            <w:tcW w:type="dxa" w:w="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[4]</w:t>
            </w:r>
          </w:p>
        </w:tc>
      </w:tr>
      <w:tr>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Format</w:t>
            </w:r>
          </w:p>
        </w:tc>
        <w:tc>
          <w:tcPr>
            <w:tcW w:type="dxa" w:w="6326"/>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Timed downhill run + a start-line performance, on a course with jumps/obstacles</w:t>
            </w:r>
          </w:p>
        </w:tc>
        <w:tc>
          <w:tcPr>
            <w:tcW w:type="dxa" w:w="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[3][5]</w:t>
            </w:r>
          </w:p>
        </w:tc>
      </w:tr>
      <w:tr>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Heritage to beat</w:t>
            </w:r>
          </w:p>
        </w:tc>
        <w:tc>
          <w:tcPr>
            <w:tcW w:type="dxa" w:w="6326"/>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Reigning SA stars: the Potjie Boytjies (back-to-back Cape Town champions)</w:t>
            </w:r>
          </w:p>
        </w:tc>
        <w:tc>
          <w:tcPr>
            <w:tcW w:type="dxa" w:w="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[3]</w:t>
            </w:r>
          </w:p>
        </w:tc>
      </w:tr>
    </w:tbl>
    <w:p>
      <w:pPr>
        <w:spacing w:after="60"/>
      </w:pPr>
      <w:r>
        <w:t xml:space="preserve"/>
      </w:r>
    </w:p>
    <w:p>
      <w:pPr>
        <w:spacing w:after="120" w:line="276"/>
      </w:pPr>
      <w:r>
        <w:rPr>
          <w:b/>
          <w:bCs/>
        </w:rPr>
        <w:t xml:space="preserve">Why this matters: </w:t>
      </w:r>
      <w:r>
        <w:t xml:space="preserve">the date drives your whole timeline, and the six-week sponsor-approval rule (Section 7) counts backwards from it. If the date moves by a week, your sponsor deadline moves with it.</w:t>
      </w:r>
    </w:p>
    <w:p>
      <w:pPr>
        <w:pStyle w:val="Heading1"/>
      </w:pPr>
      <w:r>
        <w:t xml:space="preserve">2. Official rules and technical regulations</w:t>
      </w:r>
    </w:p>
    <w:p>
      <w:pPr>
        <w:spacing w:after="120" w:line="276"/>
      </w:pPr>
      <w:r>
        <w:t xml:space="preserve">These are the rules your build must satisfy at tech inspection. The dimensions and weight come straight from the official South African rules page; the propulsion, steering/brake, crew and safety items are consistent across Red Bull’s rules pages for the event.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6326"/>
        <w:gridCol w:w="800"/>
      </w:tblGrid>
      <w:tr>
        <w:trPr>
          <w:tblHeader/>
        </w:trPr>
        <w:tc>
          <w:tcPr>
            <w:tcW w:type="dxa" w:w="1900"/>
            <w:tcBorders>
              <w:top w:val="single" w:color="CCCCCC" w:sz="1"/>
              <w:left w:val="single" w:color="CCCCCC" w:sz="1"/>
              <w:bottom w:val="single" w:color="CCCCCC" w:sz="1"/>
              <w:right w:val="single" w:color="CCCCCC" w:sz="1"/>
            </w:tcBorders>
            <w:shd w:fill="FAE3DF" w:val="clear"/>
            <w:tcMar>
              <w:top w:type="dxa" w:w="70"/>
              <w:left w:type="dxa" w:w="110"/>
              <w:bottom w:type="dxa" w:w="70"/>
              <w:right w:type="dxa" w:w="110"/>
            </w:tcMar>
          </w:tcPr>
          <w:p>
            <w:pPr>
              <w:spacing w:after="0"/>
            </w:pPr>
            <w:r>
              <w:rPr>
                <w:b/>
                <w:bCs/>
              </w:rPr>
              <w:t xml:space="preserve">Rule</w:t>
            </w:r>
          </w:p>
        </w:tc>
        <w:tc>
          <w:tcPr>
            <w:tcW w:type="dxa" w:w="6326"/>
            <w:tcBorders>
              <w:top w:val="single" w:color="CCCCCC" w:sz="1"/>
              <w:left w:val="single" w:color="CCCCCC" w:sz="1"/>
              <w:bottom w:val="single" w:color="CCCCCC" w:sz="1"/>
              <w:right w:val="single" w:color="CCCCCC" w:sz="1"/>
            </w:tcBorders>
            <w:shd w:fill="FAE3DF" w:val="clear"/>
            <w:tcMar>
              <w:top w:type="dxa" w:w="70"/>
              <w:left w:type="dxa" w:w="110"/>
              <w:bottom w:type="dxa" w:w="70"/>
              <w:right w:type="dxa" w:w="110"/>
            </w:tcMar>
          </w:tcPr>
          <w:p>
            <w:pPr>
              <w:spacing w:after="0"/>
            </w:pPr>
            <w:r>
              <w:rPr>
                <w:b/>
                <w:bCs/>
              </w:rPr>
              <w:t xml:space="preserve">Requirement</w:t>
            </w:r>
          </w:p>
        </w:tc>
        <w:tc>
          <w:tcPr>
            <w:tcW w:type="dxa" w:w="800"/>
            <w:tcBorders>
              <w:top w:val="single" w:color="CCCCCC" w:sz="1"/>
              <w:left w:val="single" w:color="CCCCCC" w:sz="1"/>
              <w:bottom w:val="single" w:color="CCCCCC" w:sz="1"/>
              <w:right w:val="single" w:color="CCCCCC" w:sz="1"/>
            </w:tcBorders>
            <w:shd w:fill="FAE3DF" w:val="clear"/>
            <w:tcMar>
              <w:top w:type="dxa" w:w="70"/>
              <w:left w:type="dxa" w:w="110"/>
              <w:bottom w:type="dxa" w:w="70"/>
              <w:right w:type="dxa" w:w="110"/>
            </w:tcMar>
          </w:tcPr>
          <w:p>
            <w:pPr>
              <w:spacing w:after="0"/>
            </w:pPr>
            <w:r>
              <w:rPr>
                <w:b/>
                <w:bCs/>
              </w:rPr>
              <w:t xml:space="preserve">Ref</w:t>
            </w:r>
          </w:p>
        </w:tc>
      </w:tr>
      <w:tr>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Length</w:t>
            </w:r>
          </w:p>
        </w:tc>
        <w:tc>
          <w:tcPr>
            <w:tcW w:type="dxa" w:w="6326"/>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Less than 6 m</w:t>
            </w:r>
          </w:p>
        </w:tc>
        <w:tc>
          <w:tcPr>
            <w:tcW w:type="dxa" w:w="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[1]</w:t>
            </w:r>
          </w:p>
        </w:tc>
      </w:tr>
      <w:tr>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Width</w:t>
            </w:r>
          </w:p>
        </w:tc>
        <w:tc>
          <w:tcPr>
            <w:tcW w:type="dxa" w:w="6326"/>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Less than 2 m</w:t>
            </w:r>
          </w:p>
        </w:tc>
        <w:tc>
          <w:tcPr>
            <w:tcW w:type="dxa" w:w="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[1]</w:t>
            </w:r>
          </w:p>
        </w:tc>
      </w:tr>
      <w:tr>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Height</w:t>
            </w:r>
          </w:p>
        </w:tc>
        <w:tc>
          <w:tcPr>
            <w:tcW w:type="dxa" w:w="6326"/>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Less than 2.5 m</w:t>
            </w:r>
          </w:p>
        </w:tc>
        <w:tc>
          <w:tcPr>
            <w:tcW w:type="dxa" w:w="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[1]</w:t>
            </w:r>
          </w:p>
        </w:tc>
      </w:tr>
      <w:tr>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Weight</w:t>
            </w:r>
          </w:p>
        </w:tc>
        <w:tc>
          <w:tcPr>
            <w:tcW w:type="dxa" w:w="6326"/>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Maximum 80 kg excluding the driver</w:t>
            </w:r>
          </w:p>
        </w:tc>
        <w:tc>
          <w:tcPr>
            <w:tcW w:type="dxa" w:w="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[1]</w:t>
            </w:r>
          </w:p>
        </w:tc>
      </w:tr>
      <w:tr>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Propulsion</w:t>
            </w:r>
          </w:p>
        </w:tc>
        <w:tc>
          <w:tcPr>
            <w:tcW w:type="dxa" w:w="6326"/>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Gravity (and the initial push) only. No engines, petrol, batteries, electrical cords, catapults or any stored/external energy</w:t>
            </w:r>
          </w:p>
        </w:tc>
        <w:tc>
          <w:tcPr>
            <w:tcW w:type="dxa" w:w="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[1][5]</w:t>
            </w:r>
          </w:p>
        </w:tc>
      </w:tr>
      <w:tr>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Steering</w:t>
            </w:r>
          </w:p>
        </w:tc>
        <w:tc>
          <w:tcPr>
            <w:tcW w:type="dxa" w:w="6326"/>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Must be fitted and functional (hand-built, non-motorised)</w:t>
            </w:r>
          </w:p>
        </w:tc>
        <w:tc>
          <w:tcPr>
            <w:tcW w:type="dxa" w:w="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[5]</w:t>
            </w:r>
          </w:p>
        </w:tc>
      </w:tr>
      <w:tr>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Brakes</w:t>
            </w:r>
          </w:p>
        </w:tc>
        <w:tc>
          <w:tcPr>
            <w:tcW w:type="dxa" w:w="6326"/>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Must be fitted and functional — the cart must be able to stop</w:t>
            </w:r>
          </w:p>
        </w:tc>
        <w:tc>
          <w:tcPr>
            <w:tcW w:type="dxa" w:w="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[5]</w:t>
            </w:r>
          </w:p>
        </w:tc>
      </w:tr>
      <w:tr>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Crew / push</w:t>
            </w:r>
          </w:p>
        </w:tc>
        <w:tc>
          <w:tcPr>
            <w:tcW w:type="dxa" w:w="6326"/>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Pit crew up to 4 may push, but only as far as the start line; after that the driver is alone</w:t>
            </w:r>
          </w:p>
        </w:tc>
        <w:tc>
          <w:tcPr>
            <w:tcW w:type="dxa" w:w="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[5]</w:t>
            </w:r>
          </w:p>
        </w:tc>
      </w:tr>
      <w:tr>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Finish</w:t>
            </w:r>
          </w:p>
        </w:tc>
        <w:tc>
          <w:tcPr>
            <w:tcW w:type="dxa" w:w="6326"/>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You must cross the finish line in the vehicle to score on speed</w:t>
            </w:r>
          </w:p>
        </w:tc>
        <w:tc>
          <w:tcPr>
            <w:tcW w:type="dxa" w:w="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[5]</w:t>
            </w:r>
          </w:p>
        </w:tc>
      </w:tr>
      <w:tr>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Banned effects</w:t>
            </w:r>
          </w:p>
        </w:tc>
        <w:tc>
          <w:tcPr>
            <w:tcW w:type="dxa" w:w="6326"/>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No pyrotechnics and no smoke canisters</w:t>
            </w:r>
          </w:p>
        </w:tc>
        <w:tc>
          <w:tcPr>
            <w:tcW w:type="dxa" w:w="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[7]</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4"/>
              <w:left w:val="single" w:color="E67E22" w:sz="12"/>
              <w:bottom w:val="single" w:color="E67E22" w:sz="4"/>
              <w:right w:val="single" w:color="E67E22" w:sz="4"/>
            </w:tcBorders>
            <w:shd w:fill="FBE9D0" w:val="clear"/>
            <w:tcMar>
              <w:top w:type="dxa" w:w="120"/>
              <w:left w:type="dxa" w:w="160"/>
              <w:bottom w:type="dxa" w:w="120"/>
              <w:right w:type="dxa" w:w="160"/>
            </w:tcMar>
          </w:tcPr>
          <w:p>
            <w:pPr>
              <w:spacing w:after="0" w:line="264"/>
            </w:pPr>
            <w:r>
              <w:rPr>
                <w:b/>
                <w:bCs/>
                <w:color w:val="C0392B"/>
              </w:rPr>
              <w:t xml:space="preserve">⚠ Dimension envelope nuance. </w:t>
            </w:r>
            <w:r>
              <w:t xml:space="preserve">The current SA page gives the generous 6 m × 2 m × 2.5 m / 80 kg envelope [1]. Red Bull’s UK rules page additionally states a minimum ~10 cm ground clearance and is more conservative on length [7]. Build to the tighter, safer figures (good clearance, modest length) for handling and to avoid any inspection surprise, and read your SA participation kit for the binding numbers.</w:t>
            </w:r>
          </w:p>
        </w:tc>
      </w:tr>
    </w:tbl>
    <w:p>
      <w:pPr>
        <w:pStyle w:val="Heading2"/>
      </w:pPr>
      <w:r>
        <w:t xml:space="preserve">2.1 Driver safety kit (build it into the costume)</w:t>
      </w:r>
    </w:p>
    <w:p>
      <w:pPr>
        <w:spacing w:after="120" w:line="276"/>
      </w:pPr>
      <w:r>
        <w:t xml:space="preserve">Across the event’s rules and standard motorsport practice for these races, the driver must wear a helmet and protective clothing — long sleeves, long trousers, gloves and closed shoes — every time the cart moves, including testing [5][10]. Design the gas-cylinder costume so the helmet fits underneath and none of the safety kit is optional dress-up.</w:t>
      </w:r>
    </w:p>
    <w:p>
      <w:pPr>
        <w:pStyle w:val="Heading1"/>
      </w:pPr>
      <w:r>
        <w:t xml:space="preserve">3. How the race is actually won</w:t>
      </w:r>
    </w:p>
    <w:p>
      <w:pPr>
        <w:spacing w:after="120" w:line="276"/>
      </w:pPr>
      <w:r>
        <w:t xml:space="preserve">Teams are judged on three things: </w:t>
      </w:r>
      <w:r>
        <w:rPr>
          <w:b/>
          <w:bCs/>
        </w:rPr>
        <w:t xml:space="preserve">design (creativity), the pre-race performance, and showmanship</w:t>
      </w:r>
      <w:r>
        <w:t xml:space="preserve"> — and although it is a race, the fastest car is only “looked on favourably,” not guaranteed the win</w:t>
      </w:r>
      <w:r>
        <w:rPr>
          <w:color w:val="C0392B"/>
          <w:vertAlign w:val="superscript"/>
        </w:rPr>
        <w:t xml:space="preserve"> [5]</w:t>
      </w:r>
      <w:r>
        <w:t xml:space="preserve">.</w:t>
      </w:r>
    </w:p>
    <w:p>
      <w:pPr>
        <w:spacing w:after="120" w:line="276"/>
      </w:pPr>
      <w:r>
        <w:rPr>
          <w:b/>
          <w:bCs/>
        </w:rPr>
        <w:t xml:space="preserve">The practical reading: </w:t>
      </w:r>
      <w:r>
        <w:t xml:space="preserve">two-thirds of your score is theme and performance. The reigning SA champions, the Potjie Boytjies, are explicitly credited with winning on a simple, locally-loved concept plus the best start-line skit</w:t>
      </w:r>
      <w:r>
        <w:rPr>
          <w:color w:val="C0392B"/>
          <w:vertAlign w:val="superscript"/>
        </w:rPr>
        <w:t xml:space="preserve"> [3]</w:t>
      </w:r>
      <w:r>
        <w:t xml:space="preserve">. So the priority order for a low-budget team is:</w:t>
      </w:r>
    </w:p>
    <w:p>
      <w:pPr>
        <w:pStyle w:val="ListParagraph"/>
        <w:numPr>
          <w:ilvl w:val="0"/>
          <w:numId w:val="3"/>
        </w:numPr>
        <w:spacing w:after="60" w:line="264"/>
      </w:pPr>
      <w:r>
        <w:rPr>
          <w:b/>
          <w:bCs/>
        </w:rPr>
        <w:t xml:space="preserve">A concept the crowd names in one second </w:t>
      </w:r>
      <w:r>
        <w:t xml:space="preserve">(a gas heater / gas bottle qualifies — it is instantly South African and unclaimed in this event).</w:t>
      </w:r>
    </w:p>
    <w:p>
      <w:pPr>
        <w:pStyle w:val="ListParagraph"/>
        <w:numPr>
          <w:ilvl w:val="0"/>
          <w:numId w:val="3"/>
        </w:numPr>
        <w:spacing w:after="60" w:line="264"/>
      </w:pPr>
      <w:r>
        <w:rPr>
          <w:b/>
          <w:bCs/>
        </w:rPr>
        <w:t xml:space="preserve">A tight ~30-second skit </w:t>
      </w:r>
      <w:r>
        <w:t xml:space="preserve">at the start line.</w:t>
      </w:r>
    </w:p>
    <w:p>
      <w:pPr>
        <w:pStyle w:val="ListParagraph"/>
        <w:numPr>
          <w:ilvl w:val="0"/>
          <w:numId w:val="3"/>
        </w:numPr>
        <w:spacing w:after="60" w:line="264"/>
      </w:pPr>
      <w:r>
        <w:rPr>
          <w:b/>
          <w:bCs/>
        </w:rPr>
        <w:t xml:space="preserve">A cart that finishes cleanly and reasonably fast </w:t>
      </w:r>
      <w:r>
        <w:t xml:space="preserve">— you cannot win on speed alone, but a crash or a non-finish throws away the speed third entirely.</w:t>
      </w:r>
    </w:p>
    <w:p>
      <w:pPr>
        <w:pStyle w:val="Heading1"/>
      </w:pPr>
      <w:r>
        <w:t xml:space="preserve">4. The concept and why it works</w:t>
      </w:r>
    </w:p>
    <w:p>
      <w:pPr>
        <w:spacing w:after="120" w:line="276"/>
      </w:pPr>
      <w:r>
        <w:rPr>
          <w:b/>
          <w:bCs/>
        </w:rPr>
        <w:t xml:space="preserve">Theme: </w:t>
      </w:r>
      <w:r>
        <w:t xml:space="preserve">a domestic gas heater (the upright, three-panel roll-about type) as the cart body, with the driver costumed as the matching LP gas cylinder, seated at the rear as though “plugged into” the heater. The radiant panels appear to ignite one-by-one as speed builds — off at the top, one panel lit, then two, then all three near the finish.</w:t>
      </w:r>
    </w:p>
    <w:p>
      <w:pPr>
        <w:spacing w:after="120" w:line="276"/>
      </w:pPr>
      <w:r>
        <w:rPr>
          <w:b/>
          <w:bCs/>
        </w:rPr>
        <w:t xml:space="preserve">Why it scores: </w:t>
      </w:r>
      <w:r>
        <w:t xml:space="preserve">it is instantly recognisable, distinctly South African (gas heating and load-shedding are part of daily life), and — from a review of Red Bull’s galleries and event history — no gas-heater or LP-cylinder cart has been done [8]. The progressive “igniting” effect gives judges and crowd a reason to watch the whole run, not just the start.</w:t>
      </w:r>
    </w:p>
    <w:p>
      <w:pPr>
        <w:spacing w:after="120" w:line="276"/>
      </w:pPr>
      <w:r>
        <w:rPr>
          <w:b/>
          <w:bCs/>
        </w:rPr>
        <w:t xml:space="preserve">The two engineering problems we deliberately solve: </w:t>
      </w:r>
      <w:r>
        <w:t xml:space="preserve">(1) the effect must be mechanical, because batteries are explicitly banned [1]; and (2) an upright heater box is a poor aerodynamic shape, so the body is raked back, hollowed out up top, and tailed off into the gas-cylinder driver pod (Sections 5.6–5.8).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4"/>
              <w:left w:val="single" w:color="E67E22" w:sz="12"/>
              <w:bottom w:val="single" w:color="E67E22" w:sz="4"/>
              <w:right w:val="single" w:color="E67E22" w:sz="4"/>
            </w:tcBorders>
            <w:shd w:fill="FBE9D0" w:val="clear"/>
            <w:tcMar>
              <w:top w:type="dxa" w:w="120"/>
              <w:left w:type="dxa" w:w="160"/>
              <w:bottom w:type="dxa" w:w="120"/>
              <w:right w:type="dxa" w:w="160"/>
            </w:tcMar>
          </w:tcPr>
          <w:p>
            <w:pPr>
              <w:spacing w:after="0" w:line="264"/>
            </w:pPr>
            <w:r>
              <w:rPr>
                <w:b/>
                <w:bCs/>
                <w:color w:val="C0392B"/>
              </w:rPr>
              <w:t xml:space="preserve">Keep it obviously fake fire. </w:t>
            </w:r>
            <w:r>
              <w:t xml:space="preserve">Pyrotechnics and smoke canisters are banned [7]. The “glow” must read as a cartoon effect (orange panels / fabric), the gas bottle must be an empty decoy, and nothing may suggest real flame or real gas at inspection.</w:t>
            </w:r>
          </w:p>
        </w:tc>
      </w:tr>
    </w:tbl>
    <w:p>
      <w:pPr>
        <w:pStyle w:val="Heading1"/>
      </w:pPr>
      <w:r>
        <w:t xml:space="preserve">5. The technical build</w:t>
      </w:r>
    </w:p>
    <w:p>
      <w:pPr>
        <w:spacing w:after="120" w:line="276"/>
      </w:pPr>
      <w:r>
        <w:t xml:space="preserve">Design principle, in one line: make it safe, make it sleek, make it steer, make it stop — then decorate. Fast carts share a short list of traits: a strong, triangulated chassis; low drag and small frontal area; low rolling resistance; a low, central centre of gravity; good brakes; and weight kept close to (but under) the limit where the course allows [10].</w:t>
      </w:r>
    </w:p>
    <w:p>
      <w:pPr>
        <w:pStyle w:val="Heading2"/>
      </w:pPr>
      <w:r>
        <w:t xml:space="preserve">5.1 Chassis (no in-house welding)</w:t>
      </w:r>
    </w:p>
    <w:p>
      <w:pPr>
        <w:spacing w:after="120" w:line="276"/>
      </w:pPr>
      <w:r>
        <w:t xml:space="preserve">A stiff chassis is the single most important safety and handling item — flex under cornering load ruins steering and is dangerous [10]. Two no-weld routes work for an entry-level team:</w:t>
      </w:r>
    </w:p>
    <w:p>
      <w:pPr>
        <w:pStyle w:val="ListParagraph"/>
        <w:numPr>
          <w:ilvl w:val="0"/>
          <w:numId w:val="2"/>
        </w:numPr>
        <w:spacing w:after="60" w:line="264"/>
      </w:pPr>
      <w:r>
        <w:rPr>
          <w:b/>
          <w:bCs/>
        </w:rPr>
        <w:t xml:space="preserve">Plywood / shutterply platform: </w:t>
      </w:r>
      <w:r>
        <w:t xml:space="preserve">a double-thickness shutterply floor with a bolted timber or angle-iron perimeter. Light, stiff, screw-and-bolt assembly, no welding. This is the most common entry-level approach [9].</w:t>
      </w:r>
    </w:p>
    <w:p>
      <w:pPr>
        <w:pStyle w:val="ListParagraph"/>
        <w:numPr>
          <w:ilvl w:val="0"/>
          <w:numId w:val="2"/>
        </w:numPr>
        <w:spacing w:after="60" w:line="264"/>
      </w:pPr>
      <w:r>
        <w:rPr>
          <w:b/>
          <w:bCs/>
        </w:rPr>
        <w:t xml:space="preserve">Bolt-together steel angle: </w:t>
      </w:r>
      <w:r>
        <w:t xml:space="preserve">a ladder/space-frame of angle iron joined with corner gussets and bolts. If you want welded joints at the highest-stress points (rear axle mounts, any roll hoop), outsource just those few welds and bolt everything else.</w:t>
      </w:r>
    </w:p>
    <w:p>
      <w:pPr>
        <w:spacing w:after="120" w:line="276"/>
      </w:pPr>
      <w:r>
        <w:t xml:space="preserve">Triangulate everywhere — triangles are what stop a frame flexing and twisting [13]. Keep the platform low and slightly long (a longer wheelbase is more stable at speed).</w:t>
      </w:r>
    </w:p>
    <w:p>
      <w:pPr>
        <w:pStyle w:val="Heading2"/>
      </w:pPr>
      <w:r>
        <w:t xml:space="preserve">5.2 Steering</w:t>
      </w:r>
    </w:p>
    <w:p>
      <w:pPr>
        <w:spacing w:after="120" w:line="276"/>
      </w:pPr>
      <w:r>
        <w:t xml:space="preserve">Use go-kart style </w:t>
      </w:r>
      <w:r>
        <w:rPr>
          <w:b/>
          <w:bCs/>
        </w:rPr>
        <w:t xml:space="preserve">pitman-arm steering</w:t>
      </w:r>
      <w:r>
        <w:t xml:space="preserve"> on a steerable front beam axle. Rope steering and a single central pivot are simple but become unstable at speed</w:t>
      </w:r>
      <w:r>
        <w:rPr>
          <w:color w:val="C0392B"/>
          <w:vertAlign w:val="superscript"/>
        </w:rPr>
        <w:t xml:space="preserve"> [13]</w:t>
      </w:r>
      <w:r>
        <w:t xml:space="preserve">; a fixed kingpin with a track rod (the geometry a kids’ pedal go-kart already has) steers far better. The cheapest reliable path is to strip the front axle and steering off a used pedal go-kart and build on it</w:t>
      </w:r>
      <w:r>
        <w:rPr>
          <w:color w:val="C0392B"/>
          <w:vertAlign w:val="superscript"/>
        </w:rPr>
        <w:t xml:space="preserve"> [13]</w:t>
      </w:r>
      <w:r>
        <w:t xml:space="preserve">.</w:t>
      </w:r>
    </w:p>
    <w:p>
      <w:pPr>
        <w:spacing w:after="120" w:line="276"/>
      </w:pPr>
      <w:r>
        <w:t xml:space="preserve">Whatever you use, the steering column must be firmly fixed to the chassis — a loose or unbraced column is a classic cause of high-speed crashes.</w:t>
      </w:r>
    </w:p>
    <w:p>
      <w:pPr>
        <w:pStyle w:val="Heading2"/>
      </w:pPr>
      <w:r>
        <w:t xml:space="preserve">5.3 Brakes</w:t>
      </w:r>
    </w:p>
    <w:p>
      <w:pPr>
        <w:spacing w:after="120" w:line="276"/>
      </w:pPr>
      <w:r>
        <w:rPr>
          <w:b/>
          <w:bCs/>
        </w:rPr>
        <w:t xml:space="preserve">Brakes are mandatory and a primary inspection item </w:t>
      </w:r>
      <w:r>
        <w:t xml:space="preserve">[5]. The simplest robust setup is a bicycle mechanical disc or calliper brake acting on a rear wheel, backed up by a hinged drag-brake (a lever-operated beam that presses onto the road). Aim to brake at least two wheels. Good brakes are non-negotiable for both safety and inspection [10].</w:t>
      </w:r>
    </w:p>
    <w:p>
      <w:pPr>
        <w:pStyle w:val="Heading2"/>
      </w:pPr>
      <w:r>
        <w:t xml:space="preserve">5.4 Wheels, axles and bearings</w:t>
      </w:r>
    </w:p>
    <w:p>
      <w:pPr>
        <w:spacing w:after="120" w:line="276"/>
      </w:pPr>
      <w:r>
        <w:t xml:space="preserve">Your wheels are the second-biggest limit on top speed after aerodynamics</w:t>
      </w:r>
      <w:r>
        <w:rPr>
          <w:color w:val="C0392B"/>
          <w:vertAlign w:val="superscript"/>
        </w:rPr>
        <w:t xml:space="preserve"> [10]</w:t>
      </w:r>
      <w:r>
        <w:t xml:space="preserve">. Practical guidance from competitive builders:</w:t>
      </w:r>
    </w:p>
    <w:p>
      <w:pPr>
        <w:pStyle w:val="ListParagraph"/>
        <w:numPr>
          <w:ilvl w:val="0"/>
          <w:numId w:val="2"/>
        </w:numPr>
        <w:spacing w:after="60" w:line="264"/>
      </w:pPr>
      <w:r>
        <w:rPr>
          <w:b/>
          <w:bCs/>
        </w:rPr>
        <w:t xml:space="preserve">Size: </w:t>
      </w:r>
      <w:r>
        <w:t xml:space="preserve">around a 20″ wheel is the competitive standard. Resist going bigger — larger wheels add aerodynamic drag and flex or buckle under the side loads of cornering [10][12].</w:t>
      </w:r>
    </w:p>
    <w:p>
      <w:pPr>
        <w:pStyle w:val="ListParagraph"/>
        <w:numPr>
          <w:ilvl w:val="0"/>
          <w:numId w:val="2"/>
        </w:numPr>
        <w:spacing w:after="60" w:line="264"/>
      </w:pPr>
      <w:r>
        <w:rPr>
          <w:b/>
          <w:bCs/>
        </w:rPr>
        <w:t xml:space="preserve">Type: </w:t>
      </w:r>
      <w:r>
        <w:t xml:space="preserve">for a jump-heavy course, large pneumatic wheels (e.g. wheelbarrow / moped / trailer) double as your suspension by absorbing landings. Avoid thin pram or weak spoked wheels under the loaded rear [9].</w:t>
      </w:r>
    </w:p>
    <w:p>
      <w:pPr>
        <w:pStyle w:val="ListParagraph"/>
        <w:numPr>
          <w:ilvl w:val="0"/>
          <w:numId w:val="2"/>
        </w:numPr>
        <w:spacing w:after="60" w:line="264"/>
      </w:pPr>
      <w:r>
        <w:rPr>
          <w:b/>
          <w:bCs/>
        </w:rPr>
        <w:t xml:space="preserve">Bearings: </w:t>
      </w:r>
      <w:r>
        <w:t xml:space="preserve">sealed deep-groove ball bearings, cleaned and free-running. Free bearings are literally free speed [10].</w:t>
      </w:r>
    </w:p>
    <w:p>
      <w:pPr>
        <w:pStyle w:val="ListParagraph"/>
        <w:numPr>
          <w:ilvl w:val="0"/>
          <w:numId w:val="2"/>
        </w:numPr>
        <w:spacing w:after="60" w:line="264"/>
      </w:pPr>
      <w:r>
        <w:rPr>
          <w:b/>
          <w:bCs/>
        </w:rPr>
        <w:t xml:space="preserve">Axles: </w:t>
      </w:r>
      <w:r>
        <w:t xml:space="preserve">a fixed rear axle and a steerable front beam axle is the universal layout [9]. Make the axle mounts strong — splayed or snapped axles on a jump landing are a common failure.</w:t>
      </w:r>
    </w:p>
    <w:p>
      <w:pPr>
        <w:pStyle w:val="Heading2"/>
      </w:pPr>
      <w:r>
        <w:t xml:space="preserve">5.5 Aerodynamics</w:t>
      </w:r>
    </w:p>
    <w:p>
      <w:pPr>
        <w:spacing w:after="120" w:line="276"/>
      </w:pPr>
      <w:r>
        <w:t xml:space="preserve">Above roughly 32 km/h (20 mph), aerodynamic drag becomes the biggest single thing slowing you down</w:t>
      </w:r>
      <w:r>
        <w:rPr>
          <w:color w:val="C0392B"/>
          <w:vertAlign w:val="superscript"/>
        </w:rPr>
        <w:t xml:space="preserve"> [10]</w:t>
      </w:r>
      <w:r>
        <w:t xml:space="preserve">. The fast carts are streamlined with a small frontal area</w:t>
      </w:r>
      <w:r>
        <w:rPr>
          <w:color w:val="C0392B"/>
          <w:vertAlign w:val="superscript"/>
        </w:rPr>
        <w:t xml:space="preserve"> [10]</w:t>
      </w:r>
      <w:r>
        <w:t xml:space="preserve">; the standard advice is to make the design interact with the air as little as possible</w:t>
      </w:r>
      <w:r>
        <w:rPr>
          <w:color w:val="C0392B"/>
          <w:vertAlign w:val="superscript"/>
        </w:rPr>
        <w:t xml:space="preserve"> [13]</w:t>
      </w:r>
      <w:r>
        <w:t xml:space="preserve">. Because an upright heater is the opposite of that, the body is engineered as follows:</w:t>
      </w:r>
    </w:p>
    <w:p>
      <w:pPr>
        <w:pStyle w:val="ListParagraph"/>
        <w:numPr>
          <w:ilvl w:val="0"/>
          <w:numId w:val="2"/>
        </w:numPr>
        <w:spacing w:after="60" w:line="264"/>
      </w:pPr>
      <w:r>
        <w:rPr>
          <w:b/>
          <w:bCs/>
        </w:rPr>
        <w:t xml:space="preserve">Rake the heater body backwards (~25°) </w:t>
      </w:r>
      <w:r>
        <w:t xml:space="preserve">to cut frontal area and lower the effective height — it still reads clearly as a heater, just “leaning into the speed.”</w:t>
      </w:r>
    </w:p>
    <w:p>
      <w:pPr>
        <w:pStyle w:val="ListParagraph"/>
        <w:numPr>
          <w:ilvl w:val="0"/>
          <w:numId w:val="2"/>
        </w:numPr>
        <w:spacing w:after="60" w:line="264"/>
      </w:pPr>
      <w:r>
        <w:rPr>
          <w:b/>
          <w:bCs/>
        </w:rPr>
        <w:t xml:space="preserve">Hollow the upper two-thirds </w:t>
      </w:r>
      <w:r>
        <w:t xml:space="preserve">— build it from lightweight foam/correx so almost no mass sits up high (low centre of gravity).</w:t>
      </w:r>
    </w:p>
    <w:p>
      <w:pPr>
        <w:pStyle w:val="ListParagraph"/>
        <w:numPr>
          <w:ilvl w:val="0"/>
          <w:numId w:val="2"/>
        </w:numPr>
        <w:spacing w:after="60" w:line="264"/>
      </w:pPr>
      <w:r>
        <w:rPr>
          <w:b/>
          <w:bCs/>
        </w:rPr>
        <w:t xml:space="preserve">Boat-tail the rear </w:t>
      </w:r>
      <w:r>
        <w:t xml:space="preserve">— the gas-cylinder driver pod tapers the back, shrinking the low-pressure wake that causes drag.</w:t>
      </w:r>
    </w:p>
    <w:p>
      <w:pPr>
        <w:pStyle w:val="ListParagraph"/>
        <w:numPr>
          <w:ilvl w:val="0"/>
          <w:numId w:val="2"/>
        </w:numPr>
        <w:spacing w:after="60" w:line="264"/>
      </w:pPr>
      <w:r>
        <w:rPr>
          <w:b/>
          <w:bCs/>
        </w:rPr>
        <w:t xml:space="preserve">Keep the driver low and tucked, and keep surfaces smooth. </w:t>
      </w:r>
      <w:r>
        <w:t xml:space="preserve">Decorative panels are sacrificial — fine if they fly off, as long as they cannot jam a wheel or the steering.</w:t>
      </w:r>
    </w:p>
    <w:p>
      <w:pPr>
        <w:pStyle w:val="Heading2"/>
      </w:pPr>
      <w:r>
        <w:t xml:space="preserve">5.6 Suspension — the honest answer</w:t>
      </w:r>
    </w:p>
    <w:p>
      <w:pPr>
        <w:spacing w:after="120" w:line="276"/>
      </w:pPr>
      <w:r>
        <w:rPr>
          <w:b/>
          <w:bCs/>
        </w:rPr>
        <w:t xml:space="preserve">You almost certainly do not want complex suspension. </w:t>
      </w:r>
      <w:r>
        <w:t xml:space="preserve">Experienced builders are blunt: real suspension is hard to get right, shocks are expensive, it adds weight, does nothing for aerodynamics unless hidden in the bodywork, and — if it is too soft — introduces nasty handling problems at speed; many carts have it only because it looks cool</w:t>
      </w:r>
      <w:r>
        <w:rPr>
          <w:color w:val="C0392B"/>
          <w:vertAlign w:val="superscript"/>
        </w:rPr>
        <w:t xml:space="preserve"> [11]</w:t>
      </w:r>
      <w:r>
        <w:t xml:space="preserve">. The fast, robust setup for this event is:</w:t>
      </w:r>
    </w:p>
    <w:p>
      <w:pPr>
        <w:pStyle w:val="ListParagraph"/>
        <w:numPr>
          <w:ilvl w:val="0"/>
          <w:numId w:val="3"/>
        </w:numPr>
        <w:spacing w:after="60" w:line="264"/>
      </w:pPr>
      <w:r>
        <w:rPr>
          <w:b/>
          <w:bCs/>
        </w:rPr>
        <w:t xml:space="preserve">A stiff, triangulated chassis that does not flex </w:t>
      </w:r>
      <w:r>
        <w:t xml:space="preserve">— this matters more than any damper [10][11].</w:t>
      </w:r>
    </w:p>
    <w:p>
      <w:pPr>
        <w:pStyle w:val="ListParagraph"/>
        <w:numPr>
          <w:ilvl w:val="0"/>
          <w:numId w:val="3"/>
        </w:numPr>
        <w:spacing w:after="60" w:line="264"/>
      </w:pPr>
      <w:r>
        <w:rPr>
          <w:b/>
          <w:bCs/>
        </w:rPr>
        <w:t xml:space="preserve">Large pneumatic tyres as your “suspension,” </w:t>
      </w:r>
      <w:r>
        <w:t xml:space="preserve">absorbing jump landings; tune the pressure firm enough for low rolling resistance, soft enough to take the hit. Some compliance is genuinely needed to keep the wheels on the road [10].</w:t>
      </w:r>
    </w:p>
    <w:p>
      <w:pPr>
        <w:pStyle w:val="ListParagraph"/>
        <w:numPr>
          <w:ilvl w:val="0"/>
          <w:numId w:val="3"/>
        </w:numPr>
        <w:spacing w:after="60" w:line="264"/>
      </w:pPr>
      <w:r>
        <w:rPr>
          <w:b/>
          <w:bCs/>
        </w:rPr>
        <w:t xml:space="preserve">Optional, only if the jumps punish the build: </w:t>
      </w:r>
      <w:r>
        <w:t xml:space="preserve">cheap compliance on the rear axle only — rubber-in-torsion trailer units or budget mini-moto shock units — mounted inboard (inside the bodywork so they add no drag) and wound to firm preload [11].</w:t>
      </w:r>
    </w:p>
    <w:p>
      <w:pPr>
        <w:spacing w:after="120" w:line="276"/>
      </w:pPr>
      <w:r>
        <w:rPr>
          <w:b/>
          <w:bCs/>
        </w:rPr>
        <w:t xml:space="preserve">Skip </w:t>
      </w:r>
      <w:r>
        <w:t xml:space="preserve">full independent suspension and the clever “pivoting axle that leans like a bicycle” idea [12] for a first build — both are fiddly and risky. “Perfect suspension” here means tyres plus a stiff frame, with simple inboard dampers as an optional upgrade.</w:t>
      </w:r>
    </w:p>
    <w:p>
      <w:pPr>
        <w:pStyle w:val="Heading2"/>
      </w:pPr>
      <w:r>
        <w:t xml:space="preserve">5.7 The mechanical “igniting panels” effect (no battery)</w:t>
      </w:r>
    </w:p>
    <w:p>
      <w:pPr>
        <w:spacing w:after="120" w:line="276"/>
      </w:pPr>
      <w:r>
        <w:t xml:space="preserve">Because batteries are banned [1], the glow must be mechanical or airflow-driven. In order of reliability:</w:t>
      </w:r>
    </w:p>
    <w:p>
      <w:pPr>
        <w:pStyle w:val="ListParagraph"/>
        <w:numPr>
          <w:ilvl w:val="0"/>
          <w:numId w:val="2"/>
        </w:numPr>
        <w:spacing w:after="60" w:line="264"/>
      </w:pPr>
      <w:r>
        <w:rPr>
          <w:b/>
          <w:bCs/>
        </w:rPr>
        <w:t xml:space="preserve">Airflow-revealed panels (recommended). </w:t>
      </w:r>
      <w:r>
        <w:t xml:space="preserve">A small wind vane sits in the airflow behind the open grille; as the cart accelerates it spins faster and, via a simple cam or centrifugal governor, trips spring-loaded panels that flip from dark to bright fluorescent orange — one at each speed threshold. Genuinely speed-driven, fully legal, no electronics.</w:t>
      </w:r>
    </w:p>
    <w:p>
      <w:pPr>
        <w:pStyle w:val="ListParagraph"/>
        <w:numPr>
          <w:ilvl w:val="0"/>
          <w:numId w:val="2"/>
        </w:numPr>
        <w:spacing w:after="60" w:line="264"/>
      </w:pPr>
      <w:r>
        <w:rPr>
          <w:b/>
          <w:bCs/>
        </w:rPr>
        <w:t xml:space="preserve">Fabric “flames.” </w:t>
      </w:r>
      <w:r>
        <w:t xml:space="preserve">Lightweight orange/red ripstop or tulle packed behind louvres inflates and flutters out only at speed — self-actuating, free, near-foolproof. Excellent as a backup or combined with the panels.</w:t>
      </w:r>
    </w:p>
    <w:p>
      <w:pPr>
        <w:pStyle w:val="ListParagraph"/>
        <w:numPr>
          <w:ilvl w:val="0"/>
          <w:numId w:val="2"/>
        </w:numPr>
        <w:spacing w:after="60" w:line="264"/>
      </w:pPr>
      <w:r>
        <w:rPr>
          <w:b/>
          <w:bCs/>
        </w:rPr>
        <w:t xml:space="preserve">Manual staged reveal. </w:t>
      </w:r>
      <w:r>
        <w:t xml:space="preserve">A driver lever (or trip-points along the course) opens the panels in sequence. Less “magical” but extremely reliable. Remember: judges score the show — a reliable manual sequence beats an automatic one that jams.</w:t>
      </w:r>
    </w:p>
    <w:p>
      <w:pPr>
        <w:pStyle w:val="Heading2"/>
      </w:pPr>
      <w:r>
        <w:t xml:space="preserve">5.8 Weight strategy</w:t>
      </w:r>
    </w:p>
    <w:p>
      <w:pPr>
        <w:spacing w:after="120" w:line="276"/>
      </w:pPr>
      <w:r>
        <w:t xml:space="preserve">Physics cuts both ways. A heavier cart (closer to the 80 kg limit) accelerates harder and reaches a higher top speed on a steep, straight run</w:t>
      </w:r>
      <w:r>
        <w:rPr>
          <w:color w:val="C0392B"/>
          <w:vertAlign w:val="superscript"/>
        </w:rPr>
        <w:t xml:space="preserve"> [10]</w:t>
      </w:r>
      <w:r>
        <w:t xml:space="preserve">; a lighter cart is more nimble and survives corners and jumps better. Sandton Drive is steep but has jumps and obstacles. The safe play: </w:t>
      </w:r>
      <w:r>
        <w:rPr>
          <w:b/>
          <w:bCs/>
        </w:rPr>
        <w:t xml:space="preserve">build the structure as light and stiff as possible, then add removable, low-mounted ballast</w:t>
      </w:r>
      <w:r>
        <w:t xml:space="preserve"> only if testing shows the course rewards it. Never use water as ballast; bolt solid ballast down low and securely</w:t>
      </w:r>
      <w:r>
        <w:rPr>
          <w:color w:val="C0392B"/>
          <w:vertAlign w:val="superscript"/>
        </w:rPr>
        <w:t xml:space="preserve"> [10]</w:t>
      </w:r>
      <w:r>
        <w:t xml:space="preserve">.</w:t>
      </w:r>
    </w:p>
    <w:p>
      <w:pPr>
        <w:pStyle w:val="Heading2"/>
      </w:pPr>
      <w:r>
        <w:t xml:space="preserve">5.9 Safety and roll protection</w:t>
      </w:r>
    </w:p>
    <w:p>
      <w:pPr>
        <w:spacing w:after="120" w:line="276"/>
      </w:pPr>
      <w:r>
        <w:t xml:space="preserve">Beyond the mandatory brakes, steering, helmet and clothing, the fast and safe carts use a strong steel chassis with a solid, braced roll bar and lots of triangulation, and the driver in a harness — worn every single time, including testing</w:t>
      </w:r>
      <w:r>
        <w:rPr>
          <w:color w:val="C0392B"/>
          <w:vertAlign w:val="superscript"/>
        </w:rPr>
        <w:t xml:space="preserve"> [10]</w:t>
      </w:r>
      <w:r>
        <w:t xml:space="preserve">. No roll cage is explicitly mandated in the SA rules text, but given the jumps it is strongly advised. Pad the cockpit; the driver will thank you on landing</w:t>
      </w:r>
      <w:r>
        <w:rPr>
          <w:color w:val="C0392B"/>
          <w:vertAlign w:val="superscript"/>
        </w:rPr>
        <w:t xml:space="preserve"> [13]</w:t>
      </w:r>
      <w:r>
        <w:t xml:space="preserve">.</w:t>
      </w:r>
    </w:p>
    <w:p>
      <w:pPr>
        <w:pStyle w:val="Heading1"/>
      </w:pPr>
      <w:r>
        <w:t xml:space="preserve">6. Design and simulation toolkit</w:t>
      </w:r>
    </w:p>
    <w:p>
      <w:pPr>
        <w:spacing w:after="120" w:line="276"/>
      </w:pPr>
      <w:r>
        <w:t xml:space="preserve">You can design and validate this cart with free or low-cost tools. The chain below goes from concept to a structurally and aerodynamically checked design.</w:t>
      </w:r>
    </w:p>
    <w:p>
      <w:pPr>
        <w:pStyle w:val="Heading2"/>
      </w:pPr>
      <w:r>
        <w:t xml:space="preserve">6.1 CAD (the backbone)</w:t>
      </w:r>
    </w:p>
    <w:p>
      <w:pPr>
        <w:pStyle w:val="ListParagraph"/>
        <w:numPr>
          <w:ilvl w:val="0"/>
          <w:numId w:val="2"/>
        </w:numPr>
        <w:spacing w:after="60" w:line="264"/>
      </w:pPr>
      <w:r>
        <w:rPr>
          <w:b/>
          <w:bCs/>
        </w:rPr>
        <w:t xml:space="preserve">Autodesk Fusion </w:t>
      </w:r>
      <w:r>
        <w:t xml:space="preserve">— best single tool here: modelling, stress analysis (FEA), generative design and a route into flow simulation in one package, free on a personal/education licence [17].</w:t>
      </w:r>
    </w:p>
    <w:p>
      <w:pPr>
        <w:pStyle w:val="ListParagraph"/>
        <w:numPr>
          <w:ilvl w:val="0"/>
          <w:numId w:val="2"/>
        </w:numPr>
        <w:spacing w:after="60" w:line="264"/>
      </w:pPr>
      <w:r>
        <w:rPr>
          <w:b/>
          <w:bCs/>
        </w:rPr>
        <w:t xml:space="preserve">Onshape </w:t>
      </w:r>
      <w:r>
        <w:t xml:space="preserve">— browser-based, free for public documents; a good cloud-only alternative.</w:t>
      </w:r>
    </w:p>
    <w:p>
      <w:pPr>
        <w:pStyle w:val="ListParagraph"/>
        <w:numPr>
          <w:ilvl w:val="0"/>
          <w:numId w:val="2"/>
        </w:numPr>
        <w:spacing w:after="60" w:line="264"/>
      </w:pPr>
      <w:r>
        <w:rPr>
          <w:b/>
          <w:bCs/>
        </w:rPr>
        <w:t xml:space="preserve">SketchUp Free </w:t>
      </w:r>
      <w:r>
        <w:t xml:space="preserve">— fast massing and visualising the body shape; long recommended for soapbox design [13].</w:t>
      </w:r>
    </w:p>
    <w:p>
      <w:pPr>
        <w:pStyle w:val="Heading2"/>
      </w:pPr>
      <w:r>
        <w:t xml:space="preserve">6.2 AI and generative design</w:t>
      </w:r>
    </w:p>
    <w:p>
      <w:pPr>
        <w:spacing w:after="120" w:line="276"/>
      </w:pPr>
      <w:r>
        <w:t xml:space="preserve">Fusion’s generative design lets you define the keep-out zones, the parts that must stay (axle mounts, seat, kingpins) and the loads, then the cloud solver returns many lightweight load-path options optimised for minimum mass at a target strength</w:t>
      </w:r>
      <w:r>
        <w:rPr>
          <w:color w:val="C0392B"/>
          <w:vertAlign w:val="superscript"/>
        </w:rPr>
        <w:t xml:space="preserve"> [17]</w:t>
      </w:r>
      <w:r>
        <w:t xml:space="preserve">. The headline real-world example: a GM seat bracket came out 40% lighter and 20% stronger as a single part</w:t>
      </w:r>
      <w:r>
        <w:rPr>
          <w:color w:val="C0392B"/>
          <w:vertAlign w:val="superscript"/>
        </w:rPr>
        <w:t xml:space="preserve"> [18]</w:t>
      </w:r>
      <w:r>
        <w:t xml:space="preserve">.</w:t>
      </w:r>
    </w:p>
    <w:p>
      <w:pPr>
        <w:spacing w:after="120" w:line="276"/>
      </w:pPr>
      <w:r>
        <w:rPr>
          <w:b/>
          <w:bCs/>
        </w:rPr>
        <w:t xml:space="preserve">Two honest caveats: </w:t>
      </w:r>
      <w:r>
        <w:t xml:space="preserve">generative design runs on Autodesk cloud credits (the full extension is paid; trial/student access covers a one-off project) [17][18], and the output is an organic mesh you normally re-model by tracing its load paths rather than manufacturing literally [18]. For a bolted ply/steel cart, use it as guidance for where to put bracing, not as a cut file.</w:t>
      </w:r>
    </w:p>
    <w:p>
      <w:pPr>
        <w:pStyle w:val="ListParagraph"/>
        <w:numPr>
          <w:ilvl w:val="0"/>
          <w:numId w:val="2"/>
        </w:numPr>
        <w:spacing w:after="60" w:line="264"/>
      </w:pPr>
      <w:r>
        <w:rPr>
          <w:b/>
          <w:bCs/>
        </w:rPr>
        <w:t xml:space="preserve">Claude + Fusion (MCP). </w:t>
      </w:r>
      <w:r>
        <w:t xml:space="preserve">Anthropic’s Claude can drive Fusion through an MCP connector for text-based modelling and automation [19].</w:t>
      </w:r>
    </w:p>
    <w:p>
      <w:pPr>
        <w:pStyle w:val="ListParagraph"/>
        <w:numPr>
          <w:ilvl w:val="0"/>
          <w:numId w:val="2"/>
        </w:numPr>
        <w:spacing w:after="60" w:line="264"/>
      </w:pPr>
      <w:r>
        <w:rPr>
          <w:b/>
          <w:bCs/>
        </w:rPr>
        <w:t xml:space="preserve">Text-to-CAD. </w:t>
      </w:r>
      <w:r>
        <w:t xml:space="preserve">Emerging tools (e.g. Spectral Labs’ SGS-1) turn a prompt or sketch into editable CAD — useful for fast concept passes and livery mockups; validate everything they produce [20].</w:t>
      </w:r>
    </w:p>
    <w:p>
      <w:pPr>
        <w:pStyle w:val="Heading2"/>
      </w:pPr>
      <w:r>
        <w:t xml:space="preserve">6.3 Aerodynamics testing</w:t>
      </w:r>
    </w:p>
    <w:p>
      <w:pPr>
        <w:spacing w:after="120" w:line="276"/>
      </w:pPr>
      <w:r>
        <w:rPr>
          <w:b/>
          <w:bCs/>
        </w:rPr>
        <w:t xml:space="preserve">Digital (free). </w:t>
      </w:r>
      <w:r>
        <w:t xml:space="preserve">SimScale runs a full virtual wind tunnel in the browser on its free community tier with AI-assisted meshing — upload a STEP/STL from Fusion or SketchUp, set the airspeed, and read off drag, pressure and the wake</w:t>
      </w:r>
      <w:r>
        <w:rPr>
          <w:color w:val="C0392B"/>
          <w:vertAlign w:val="superscript"/>
        </w:rPr>
        <w:t xml:space="preserve"> [15]</w:t>
      </w:r>
      <w:r>
        <w:t xml:space="preserve">. Use it to A/B test rake angle, nose shape, boat-tail length and wheel shrouding. OpenFOAM (free, open-source) and Autodesk CFD (trial/education) are heavier alternatives</w:t>
      </w:r>
      <w:r>
        <w:rPr>
          <w:color w:val="C0392B"/>
          <w:vertAlign w:val="superscript"/>
        </w:rPr>
        <w:t xml:space="preserve"> [16]</w:t>
      </w:r>
      <w:r>
        <w:t xml:space="preserve">.</w:t>
      </w:r>
    </w:p>
    <w:p>
      <w:pPr>
        <w:spacing w:after="120" w:line="276"/>
      </w:pPr>
      <w:r>
        <w:rPr>
          <w:b/>
          <w:bCs/>
        </w:rPr>
        <w:t xml:space="preserve">Physical (cheap, and worth doing):</w:t>
      </w:r>
    </w:p>
    <w:p>
      <w:pPr>
        <w:pStyle w:val="ListParagraph"/>
        <w:numPr>
          <w:ilvl w:val="0"/>
          <w:numId w:val="2"/>
        </w:numPr>
        <w:spacing w:after="60" w:line="264"/>
      </w:pPr>
      <w:r>
        <w:rPr>
          <w:b/>
          <w:bCs/>
        </w:rPr>
        <w:t xml:space="preserve">Tuft testing </w:t>
      </w:r>
      <w:r>
        <w:t xml:space="preserve">— tape short wool tufts over the body and film it towed behind a car; thrashing tufts show where flow separates and you are losing speed.</w:t>
      </w:r>
    </w:p>
    <w:p>
      <w:pPr>
        <w:pStyle w:val="ListParagraph"/>
        <w:numPr>
          <w:ilvl w:val="0"/>
          <w:numId w:val="2"/>
        </w:numPr>
        <w:spacing w:after="60" w:line="264"/>
      </w:pPr>
      <w:r>
        <w:rPr>
          <w:b/>
          <w:bCs/>
        </w:rPr>
        <w:t xml:space="preserve">Coast-down timing </w:t>
      </w:r>
      <w:r>
        <w:t xml:space="preserve">— release from the same fixed point on a measured slope and time two configurations (e.g. boat-tail on vs off). The difference is your real drag-plus-rolling-resistance, measured free with a phone GPS app.</w:t>
      </w:r>
    </w:p>
    <w:p>
      <w:pPr>
        <w:pStyle w:val="ListParagraph"/>
        <w:numPr>
          <w:ilvl w:val="0"/>
          <w:numId w:val="2"/>
        </w:numPr>
        <w:spacing w:after="60" w:line="264"/>
      </w:pPr>
      <w:r>
        <w:rPr>
          <w:b/>
          <w:bCs/>
        </w:rPr>
        <w:t xml:space="preserve">Scale model + fan + smoke </w:t>
      </w:r>
      <w:r>
        <w:t xml:space="preserve">— for early shape decisions before committing material.</w:t>
      </w:r>
    </w:p>
    <w:p>
      <w:pPr>
        <w:pStyle w:val="Heading2"/>
      </w:pPr>
      <w:r>
        <w:t xml:space="preserve">6.4 Structural validation</w:t>
      </w:r>
    </w:p>
    <w:p>
      <w:pPr>
        <w:spacing w:after="120" w:line="276"/>
      </w:pPr>
      <w:r>
        <w:t xml:space="preserve">Run Fusion’s FEA on the chassis with a jump-landing load (model the impact at roughly 4–5× the static driver-plus-cart weight) and aim for a safety factor of about 2 on the stressed joints before you cut anything.</w:t>
      </w:r>
    </w:p>
    <w:p>
      <w:pPr>
        <w:pStyle w:val="Heading1"/>
      </w:pPr>
      <w:r>
        <w:t xml:space="preserve">7. Sponsorship playbook</w:t>
      </w:r>
    </w:p>
    <w:p>
      <w:pPr>
        <w:spacing w:after="120" w:line="276"/>
      </w:pPr>
      <w:r>
        <w:t xml:space="preserve">A gas-heater / gas-cylinder cart is, in effect, a giant three-dimensional advert for a gas or appliance brand — which is exactly your leverage. But Red Bull controls sponsor branding tightly, and the rules carry a hard lead-time you must plan around.</w:t>
      </w:r>
    </w:p>
    <w:p>
      <w:pPr>
        <w:pStyle w:val="Heading2"/>
      </w:pPr>
      <w:r>
        <w:t xml:space="preserve">7.1 The rules (plan around these)</w:t>
      </w:r>
    </w:p>
    <w:p>
      <w:pPr>
        <w:spacing w:after="120" w:line="276"/>
      </w:pPr>
      <w:r>
        <w:t xml:space="preserve">Red Bull’s published Soapbox participation terms allow third-party team sponsors only if all of the following hold</w:t>
      </w:r>
      <w:r>
        <w:rPr>
          <w:color w:val="C0392B"/>
          <w:vertAlign w:val="superscript"/>
        </w:rPr>
        <w:t xml:space="preserve"> [6]</w:t>
      </w:r>
      <w:r>
        <w:t xml:space="preserve">:</w:t>
      </w:r>
    </w:p>
    <w:p>
      <w:pPr>
        <w:pStyle w:val="ListParagraph"/>
        <w:numPr>
          <w:ilvl w:val="0"/>
          <w:numId w:val="3"/>
        </w:numPr>
        <w:spacing w:after="60" w:line="264"/>
      </w:pPr>
      <w:r>
        <w:rPr>
          <w:b/>
          <w:bCs/>
        </w:rPr>
        <w:t xml:space="preserve">Red Bull is notified of, and approves, the sponsor’s identity at least six weeks before the event</w:t>
      </w:r>
      <w:r>
        <w:t xml:space="preserve">.</w:t>
      </w:r>
    </w:p>
    <w:p>
      <w:pPr>
        <w:pStyle w:val="ListParagraph"/>
        <w:numPr>
          <w:ilvl w:val="0"/>
          <w:numId w:val="3"/>
        </w:numPr>
        <w:spacing w:after="60" w:line="264"/>
      </w:pPr>
      <w:r>
        <w:rPr>
          <w:b/>
          <w:bCs/>
        </w:rPr>
        <w:t xml:space="preserve">No competing energy-drink brand </w:t>
      </w:r>
      <w:r>
        <w:t xml:space="preserve">will be approved as a sponsor.</w:t>
      </w:r>
    </w:p>
    <w:p>
      <w:pPr>
        <w:pStyle w:val="ListParagraph"/>
        <w:numPr>
          <w:ilvl w:val="0"/>
          <w:numId w:val="3"/>
        </w:numPr>
        <w:spacing w:after="60" w:line="264"/>
      </w:pPr>
      <w:r>
        <w:rPr>
          <w:b/>
          <w:bCs/>
        </w:rPr>
        <w:t xml:space="preserve">Any sponsor logos on the cart appear in the form and size Red Bull pre-approves</w:t>
      </w:r>
      <w:r>
        <w:t xml:space="preserve">.</w:t>
      </w:r>
    </w:p>
    <w:p>
      <w:pPr>
        <w:pStyle w:val="ListParagraph"/>
        <w:numPr>
          <w:ilvl w:val="0"/>
          <w:numId w:val="3"/>
        </w:numPr>
        <w:spacing w:after="60" w:line="264"/>
      </w:pPr>
      <w:r>
        <w:rPr>
          <w:b/>
          <w:bCs/>
        </w:rPr>
        <w:t xml:space="preserve">Red Bull may refuse any third-party sponsor for any reason, at its discretion</w:t>
      </w:r>
      <w:r>
        <w:t xml:space="preserve">.</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4"/>
              <w:left w:val="single" w:color="E67E22" w:sz="12"/>
              <w:bottom w:val="single" w:color="E67E22" w:sz="4"/>
              <w:right w:val="single" w:color="E67E22" w:sz="4"/>
            </w:tcBorders>
            <w:shd w:fill="FBE9D0" w:val="clear"/>
            <w:tcMar>
              <w:top w:type="dxa" w:w="120"/>
              <w:left w:type="dxa" w:w="160"/>
              <w:bottom w:type="dxa" w:w="120"/>
              <w:right w:type="dxa" w:w="160"/>
            </w:tcMar>
          </w:tcPr>
          <w:p>
            <w:pPr>
              <w:spacing w:after="0" w:line="264"/>
            </w:pPr>
            <w:r>
              <w:rPr>
                <w:b/>
                <w:bCs/>
                <w:color w:val="C0392B"/>
              </w:rPr>
              <w:t xml:space="preserve">⚠ Source note. </w:t>
            </w:r>
            <w:r>
              <w:t xml:space="preserve">The four points above are the standard, published Red Bull Soapbox terms wording [6]. Confirm the exact figure and process in the South African 2026 Terms of Participation before signing anything — the six-week window in particular is the number to verify.</w:t>
            </w:r>
          </w:p>
        </w:tc>
      </w:tr>
    </w:tbl>
    <w:p>
      <w:pPr>
        <w:pStyle w:val="Heading2"/>
      </w:pPr>
      <w:r>
        <w:t xml:space="preserve">7.2 What this means for your timeline</w:t>
      </w:r>
    </w:p>
    <w:p>
      <w:pPr>
        <w:spacing w:after="120" w:line="276"/>
      </w:pPr>
      <w:r>
        <w:t xml:space="preserve">Counting back six weeks from race day, your sponsor must be agreed and submitted to Red Bull by roughly </w:t>
      </w:r>
      <w:r>
        <w:rPr>
          <w:b/>
          <w:bCs/>
        </w:rPr>
        <w:t xml:space="preserve">early-to-mid August 2026</w:t>
      </w:r>
      <w:r>
        <w:t xml:space="preserve"> (⚠ exact date depends on whether the race is 20 or 27 September). That pulls sponsor outreach to the very front of the project — effectively now.</w:t>
      </w:r>
    </w:p>
    <w:p>
      <w:pPr>
        <w:pStyle w:val="Heading2"/>
      </w:pPr>
      <w:r>
        <w:t xml:space="preserve">7.3 Who to approach</w:t>
      </w:r>
    </w:p>
    <w:p>
      <w:pPr>
        <w:spacing w:after="120" w:line="276"/>
      </w:pPr>
      <w:r>
        <w:t xml:space="preserve">Real South African brands whose products your cart literally depicts (these are candidate targets to approach — not confirmed partners):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426"/>
        <w:gridCol w:w="2300"/>
      </w:tblGrid>
      <w:tr>
        <w:trPr>
          <w:tblHeader/>
        </w:trPr>
        <w:tc>
          <w:tcPr>
            <w:tcW w:type="dxa" w:w="2300"/>
            <w:tcBorders>
              <w:top w:val="single" w:color="CCCCCC" w:sz="1"/>
              <w:left w:val="single" w:color="CCCCCC" w:sz="1"/>
              <w:bottom w:val="single" w:color="CCCCCC" w:sz="1"/>
              <w:right w:val="single" w:color="CCCCCC" w:sz="1"/>
            </w:tcBorders>
            <w:shd w:fill="FAE3DF" w:val="clear"/>
            <w:tcMar>
              <w:top w:type="dxa" w:w="70"/>
              <w:left w:type="dxa" w:w="110"/>
              <w:bottom w:type="dxa" w:w="70"/>
              <w:right w:type="dxa" w:w="110"/>
            </w:tcMar>
          </w:tcPr>
          <w:p>
            <w:pPr>
              <w:spacing w:after="0"/>
            </w:pPr>
            <w:r>
              <w:rPr>
                <w:b/>
                <w:bCs/>
              </w:rPr>
              <w:t xml:space="preserve">Category</w:t>
            </w:r>
          </w:p>
        </w:tc>
        <w:tc>
          <w:tcPr>
            <w:tcW w:type="dxa" w:w="4426"/>
            <w:tcBorders>
              <w:top w:val="single" w:color="CCCCCC" w:sz="1"/>
              <w:left w:val="single" w:color="CCCCCC" w:sz="1"/>
              <w:bottom w:val="single" w:color="CCCCCC" w:sz="1"/>
              <w:right w:val="single" w:color="CCCCCC" w:sz="1"/>
            </w:tcBorders>
            <w:shd w:fill="FAE3DF" w:val="clear"/>
            <w:tcMar>
              <w:top w:type="dxa" w:w="70"/>
              <w:left w:type="dxa" w:w="110"/>
              <w:bottom w:type="dxa" w:w="70"/>
              <w:right w:type="dxa" w:w="110"/>
            </w:tcMar>
          </w:tcPr>
          <w:p>
            <w:pPr>
              <w:spacing w:after="0"/>
            </w:pPr>
            <w:r>
              <w:rPr>
                <w:b/>
                <w:bCs/>
              </w:rPr>
              <w:t xml:space="preserve">Candidate brands</w:t>
            </w:r>
          </w:p>
        </w:tc>
        <w:tc>
          <w:tcPr>
            <w:tcW w:type="dxa" w:w="2300"/>
            <w:tcBorders>
              <w:top w:val="single" w:color="CCCCCC" w:sz="1"/>
              <w:left w:val="single" w:color="CCCCCC" w:sz="1"/>
              <w:bottom w:val="single" w:color="CCCCCC" w:sz="1"/>
              <w:right w:val="single" w:color="CCCCCC" w:sz="1"/>
            </w:tcBorders>
            <w:shd w:fill="FAE3DF" w:val="clear"/>
            <w:tcMar>
              <w:top w:type="dxa" w:w="70"/>
              <w:left w:type="dxa" w:w="110"/>
              <w:bottom w:type="dxa" w:w="70"/>
              <w:right w:type="dxa" w:w="110"/>
            </w:tcMar>
          </w:tcPr>
          <w:p>
            <w:pPr>
              <w:spacing w:after="0"/>
            </w:pPr>
            <w:r>
              <w:rPr>
                <w:b/>
                <w:bCs/>
              </w:rPr>
              <w:t xml:space="preserve">Why they fit</w:t>
            </w:r>
          </w:p>
        </w:tc>
      </w:tr>
      <w:tr>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LPG / gas suppliers</w:t>
            </w:r>
          </w:p>
        </w:tc>
        <w:tc>
          <w:tcPr>
            <w:tcW w:type="dxa" w:w="4426"/>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Afrox, Easigas, Totalgaz, Oryx Energies, KayaGas, Air Products</w:t>
            </w:r>
          </w:p>
        </w:tc>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The driver IS their product (the gas cylinder); national reach</w:t>
            </w:r>
          </w:p>
        </w:tc>
      </w:tr>
      <w:tr>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Gas appliances / heaters</w:t>
            </w:r>
          </w:p>
        </w:tc>
        <w:tc>
          <w:tcPr>
            <w:tcW w:type="dxa" w:w="4426"/>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Russell Hobbs, Goldair, Alva, Totai, Megamaster</w:t>
            </w:r>
          </w:p>
        </w:tc>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The cart IS their product (the heater)</w:t>
            </w:r>
          </w:p>
        </w:tc>
      </w:tr>
      <w:tr>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Gas braai / outdoor</w:t>
            </w:r>
          </w:p>
        </w:tc>
        <w:tc>
          <w:tcPr>
            <w:tcW w:type="dxa" w:w="4426"/>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Cadac</w:t>
            </w:r>
          </w:p>
        </w:tc>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Iconic, fun, very South African brand; tone matches the event</w:t>
            </w:r>
          </w:p>
        </w:tc>
      </w:tr>
      <w:tr>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Materials in-kind</w:t>
            </w:r>
          </w:p>
        </w:tc>
        <w:tc>
          <w:tcPr>
            <w:tcW w:type="dxa" w:w="4426"/>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Builders, Cashbuild, BUCO, Leroy Merlin</w:t>
            </w:r>
          </w:p>
        </w:tc>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Discounted/donated ply, steel, wheels, fasteners</w:t>
            </w:r>
          </w:p>
        </w:tc>
      </w:tr>
    </w:tbl>
    <w:p>
      <w:pPr>
        <w:spacing w:after="60"/>
      </w:pPr>
      <w:r>
        <w:t xml:space="preserve"/>
      </w:r>
    </w:p>
    <w:p>
      <w:pPr>
        <w:pStyle w:val="Heading2"/>
      </w:pPr>
      <w:r>
        <w:t xml:space="preserve">7.4 What to offer, and the approval order</w:t>
      </w:r>
    </w:p>
    <w:p>
      <w:pPr>
        <w:pStyle w:val="ListParagraph"/>
        <w:numPr>
          <w:ilvl w:val="0"/>
          <w:numId w:val="2"/>
        </w:numPr>
        <w:spacing w:after="60" w:line="264"/>
      </w:pPr>
      <w:r>
        <w:rPr>
          <w:b/>
          <w:bCs/>
        </w:rPr>
        <w:t xml:space="preserve">Offer: </w:t>
      </w:r>
      <w:r>
        <w:t xml:space="preserve">brand livery on the cart, the team name, the start-line skit, and the photo/video content these events generate (Red Bull events draw large crowds and big online reach [3]). Ask for cash plus product — a real heater and cylinder to model from, and materials.</w:t>
      </w:r>
    </w:p>
    <w:p>
      <w:pPr>
        <w:pStyle w:val="ListParagraph"/>
        <w:numPr>
          <w:ilvl w:val="0"/>
          <w:numId w:val="2"/>
        </w:numPr>
        <w:spacing w:after="60" w:line="264"/>
      </w:pPr>
      <w:r>
        <w:rPr>
          <w:b/>
          <w:bCs/>
        </w:rPr>
        <w:t xml:space="preserve">Keep it tasteful: </w:t>
      </w:r>
      <w:r>
        <w:t xml:space="preserve">the cart being the product is the advert. A logo wall hurts your creativity score — use the sponsor’s colours and one clean, approved wordmark.</w:t>
      </w:r>
    </w:p>
    <w:p>
      <w:pPr>
        <w:pStyle w:val="ListParagraph"/>
        <w:numPr>
          <w:ilvl w:val="0"/>
          <w:numId w:val="2"/>
        </w:numPr>
        <w:spacing w:after="60" w:line="264"/>
      </w:pPr>
      <w:r>
        <w:rPr>
          <w:b/>
          <w:bCs/>
        </w:rPr>
        <w:t xml:space="preserve">Order of operations: </w:t>
      </w:r>
      <w:r>
        <w:t xml:space="preserve">agree terms with the sponsor → submit the sponsor’s identity to Red Bull for approval (≥6 weeks out) → get logo form/size signed off → only then apply the livery. Do not promise a sponsor specific placement before Red Bull approves it [6].</w:t>
      </w:r>
    </w:p>
    <w:p>
      <w:pPr>
        <w:pStyle w:val="Heading1"/>
      </w:pPr>
      <w:r>
        <w:t xml:space="preserve">8. Build strategy and phased timeline</w:t>
      </w:r>
    </w:p>
    <w:p>
      <w:pPr>
        <w:spacing w:after="120" w:line="276"/>
      </w:pPr>
      <w:r>
        <w:rPr>
          <w:b/>
          <w:bCs/>
        </w:rPr>
        <w:t xml:space="preserve">North star (write this on the wall): </w:t>
      </w:r>
      <w:r>
        <w:t xml:space="preserve">the most instantly recognisable gas-heater / gas-bottle cart anyone has seen — light and stiff enough to be quick and survive the jumps, sponsor-backed, and carried by a skit that lands in under a minute.</w:t>
      </w:r>
    </w:p>
    <w:p>
      <w:pPr>
        <w:spacing w:after="120" w:line="276"/>
      </w:pPr>
      <w:r>
        <w:t xml:space="preserve">Each phase has a decision gate. Do not start the next phase until the gate is met — that is what keeps the project on the rails.</w:t>
      </w:r>
    </w:p>
    <w:p>
      <w:pPr>
        <w:pStyle w:val="Heading2"/>
      </w:pPr>
      <w:r>
        <w:t xml:space="preserve">8.1 Phase 0 — Lock the intent (this week)</w:t>
      </w:r>
    </w:p>
    <w:p>
      <w:pPr>
        <w:pStyle w:val="ListParagraph"/>
        <w:numPr>
          <w:ilvl w:val="0"/>
          <w:numId w:val="2"/>
        </w:numPr>
        <w:spacing w:after="60" w:line="264"/>
      </w:pPr>
      <w:r>
        <w:t xml:space="preserve">Write the north-star line and the non-negotiables (Section 2) where the team can see them.</w:t>
      </w:r>
    </w:p>
    <w:p>
      <w:pPr>
        <w:pStyle w:val="ListParagraph"/>
        <w:numPr>
          <w:ilvl w:val="0"/>
          <w:numId w:val="2"/>
        </w:numPr>
        <w:spacing w:after="60" w:line="264"/>
      </w:pPr>
      <w:r>
        <w:t xml:space="preserve">Decide the object and draft the ~30-second skit.</w:t>
      </w:r>
    </w:p>
    <w:p>
      <w:pPr>
        <w:pStyle w:val="ListParagraph"/>
        <w:numPr>
          <w:ilvl w:val="0"/>
          <w:numId w:val="2"/>
        </w:numPr>
        <w:spacing w:after="60" w:line="264"/>
      </w:pPr>
      <w:r>
        <w:rPr>
          <w:b/>
          <w:bCs/>
        </w:rPr>
        <w:t xml:space="preserve">Gate: </w:t>
      </w:r>
      <w:r>
        <w:t xml:space="preserve">a stranger can name the object in one second, and you can describe the skit in two sentences.</w:t>
      </w:r>
    </w:p>
    <w:p>
      <w:pPr>
        <w:pStyle w:val="Heading2"/>
      </w:pPr>
      <w:r>
        <w:t xml:space="preserve">8.2 Phase 1 — Sponsor + application (now → early July)</w:t>
      </w:r>
    </w:p>
    <w:p>
      <w:pPr>
        <w:pStyle w:val="ListParagraph"/>
        <w:numPr>
          <w:ilvl w:val="0"/>
          <w:numId w:val="2"/>
        </w:numPr>
        <w:spacing w:after="60" w:line="264"/>
      </w:pPr>
      <w:r>
        <w:t xml:space="preserve">Approach the candidate sponsors (Section 7.3) with the design you already have.</w:t>
      </w:r>
    </w:p>
    <w:p>
      <w:pPr>
        <w:pStyle w:val="ListParagraph"/>
        <w:numPr>
          <w:ilvl w:val="0"/>
          <w:numId w:val="2"/>
        </w:numPr>
        <w:spacing w:after="60" w:line="264"/>
      </w:pPr>
      <w:r>
        <w:t xml:space="preserve">Submit the Red Bull application: online form + concept sketch upload (selection is on creativity) [2].</w:t>
      </w:r>
    </w:p>
    <w:p>
      <w:pPr>
        <w:pStyle w:val="ListParagraph"/>
        <w:numPr>
          <w:ilvl w:val="0"/>
          <w:numId w:val="2"/>
        </w:numPr>
        <w:spacing w:after="60" w:line="264"/>
      </w:pPr>
      <w:r>
        <w:t xml:space="preserve">Begin the sponsor-approval clock so the sponsor identity reaches Red Bull at least six weeks before race day [6].</w:t>
      </w:r>
    </w:p>
    <w:p>
      <w:pPr>
        <w:pStyle w:val="ListParagraph"/>
        <w:numPr>
          <w:ilvl w:val="0"/>
          <w:numId w:val="2"/>
        </w:numPr>
        <w:spacing w:after="60" w:line="264"/>
      </w:pPr>
      <w:r>
        <w:rPr>
          <w:b/>
          <w:bCs/>
        </w:rPr>
        <w:t xml:space="preserve">Gate: </w:t>
      </w:r>
      <w:r>
        <w:t xml:space="preserve">application submitted before the (⚠ confirm) deadline; at least a verbal sponsor commitment.</w:t>
      </w:r>
    </w:p>
    <w:p>
      <w:pPr>
        <w:pStyle w:val="Heading2"/>
      </w:pPr>
      <w:r>
        <w:t xml:space="preserve">8.3 Phase 2 — Digital design and simulation (July)</w:t>
      </w:r>
    </w:p>
    <w:p>
      <w:pPr>
        <w:pStyle w:val="ListParagraph"/>
        <w:numPr>
          <w:ilvl w:val="0"/>
          <w:numId w:val="2"/>
        </w:numPr>
        <w:spacing w:after="60" w:line="264"/>
      </w:pPr>
      <w:r>
        <w:t xml:space="preserve">Model the cart in Fusion; run generative design for a light chassis; run FEA on the jump-landing load; run SimScale CFD to settle rake angle and boat-tail length (Section 6).</w:t>
      </w:r>
    </w:p>
    <w:p>
      <w:pPr>
        <w:pStyle w:val="ListParagraph"/>
        <w:numPr>
          <w:ilvl w:val="0"/>
          <w:numId w:val="2"/>
        </w:numPr>
        <w:spacing w:after="60" w:line="264"/>
      </w:pPr>
      <w:r>
        <w:rPr>
          <w:b/>
          <w:bCs/>
        </w:rPr>
        <w:t xml:space="preserve">Gate: </w:t>
      </w:r>
      <w:r>
        <w:t xml:space="preserve">chassis passes FEA at the jump-landing load with a safety factor of ~2; CFD drag is clearly better than an upright-box baseline.</w:t>
      </w:r>
    </w:p>
    <w:p>
      <w:pPr>
        <w:pStyle w:val="Heading2"/>
      </w:pPr>
      <w:r>
        <w:t xml:space="preserve">8.4 Phase 3 — Source and build (August)</w:t>
      </w:r>
    </w:p>
    <w:p>
      <w:pPr>
        <w:pStyle w:val="ListParagraph"/>
        <w:numPr>
          <w:ilvl w:val="0"/>
          <w:numId w:val="2"/>
        </w:numPr>
        <w:spacing w:after="60" w:line="264"/>
      </w:pPr>
      <w:r>
        <w:t xml:space="preserve">Strip a donor pedal go-kart for the front axle and pitman steering; buy wheels, bearings and a disc brake; get ply/steel.</w:t>
      </w:r>
    </w:p>
    <w:p>
      <w:pPr>
        <w:pStyle w:val="ListParagraph"/>
        <w:numPr>
          <w:ilvl w:val="0"/>
          <w:numId w:val="2"/>
        </w:numPr>
        <w:spacing w:after="60" w:line="264"/>
      </w:pPr>
      <w:r>
        <w:t xml:space="preserve">Build the stiff, triangulated chassis first; prove it rolls, steers and stops; then bolt on the sacrificial heater body and the mechanical glow effect. Outsource only the highly stressed welds.</w:t>
      </w:r>
    </w:p>
    <w:p>
      <w:pPr>
        <w:pStyle w:val="ListParagraph"/>
        <w:numPr>
          <w:ilvl w:val="0"/>
          <w:numId w:val="2"/>
        </w:numPr>
        <w:spacing w:after="60" w:line="264"/>
      </w:pPr>
      <w:r>
        <w:rPr>
          <w:b/>
          <w:bCs/>
        </w:rPr>
        <w:t xml:space="preserve">Gate: </w:t>
      </w:r>
      <w:r>
        <w:t xml:space="preserve">a rolling chassis under 80 kg, with working steering and brakes, that holds a static load test.</w:t>
      </w:r>
    </w:p>
    <w:p>
      <w:pPr>
        <w:pStyle w:val="Heading2"/>
      </w:pPr>
      <w:r>
        <w:t xml:space="preserve">8.5 Phase 4 — Test and rehearse (late August → race day)</w:t>
      </w:r>
    </w:p>
    <w:p>
      <w:pPr>
        <w:pStyle w:val="ListParagraph"/>
        <w:numPr>
          <w:ilvl w:val="0"/>
          <w:numId w:val="2"/>
        </w:numPr>
        <w:spacing w:after="60" w:line="264"/>
      </w:pPr>
      <w:r>
        <w:t xml:space="preserve">Full safety gear every time. Tow-test on the flat, then progressively steeper hills. Coast-down compare aero configs; tune tyre pressure and any ballast.</w:t>
      </w:r>
    </w:p>
    <w:p>
      <w:pPr>
        <w:pStyle w:val="ListParagraph"/>
        <w:numPr>
          <w:ilvl w:val="0"/>
          <w:numId w:val="2"/>
        </w:numPr>
        <w:spacing w:after="60" w:line="264"/>
      </w:pPr>
      <w:r>
        <w:t xml:space="preserve">Rehearse the skit until it is tight and timed.</w:t>
      </w:r>
    </w:p>
    <w:p>
      <w:pPr>
        <w:pStyle w:val="ListParagraph"/>
        <w:numPr>
          <w:ilvl w:val="0"/>
          <w:numId w:val="2"/>
        </w:numPr>
        <w:spacing w:after="60" w:line="264"/>
      </w:pPr>
      <w:r>
        <w:rPr>
          <w:b/>
          <w:bCs/>
        </w:rPr>
        <w:t xml:space="preserve">Gate: </w:t>
      </w:r>
      <w:r>
        <w:t xml:space="preserve">a clean test run with no speed wobble or structural failure; a timed skit; the cart passing your own copy of the tech-inspection checklist (Section 12).</w:t>
      </w:r>
    </w:p>
    <w:p>
      <w:pPr>
        <w:pStyle w:val="Heading1"/>
      </w:pPr>
      <w:r>
        <w:t xml:space="preserve">9. Lessons from past winners and fast builders</w:t>
      </w:r>
    </w:p>
    <w:p>
      <w:pPr>
        <w:pStyle w:val="ListParagraph"/>
        <w:numPr>
          <w:ilvl w:val="0"/>
          <w:numId w:val="2"/>
        </w:numPr>
        <w:spacing w:after="60" w:line="264"/>
      </w:pPr>
      <w:r>
        <w:rPr>
          <w:b/>
          <w:bCs/>
        </w:rPr>
        <w:t xml:space="preserve">Win on story and skit. </w:t>
      </w:r>
      <w:r>
        <w:t xml:space="preserve">The Potjie Boytjies took back-to-back titles on a simple, locally-loved concept and the best start-line performance [3]. Concept + skit beats raw speed.</w:t>
      </w:r>
    </w:p>
    <w:p>
      <w:pPr>
        <w:pStyle w:val="ListParagraph"/>
        <w:numPr>
          <w:ilvl w:val="0"/>
          <w:numId w:val="2"/>
        </w:numPr>
        <w:spacing w:after="60" w:line="264"/>
      </w:pPr>
      <w:r>
        <w:rPr>
          <w:b/>
          <w:bCs/>
        </w:rPr>
        <w:t xml:space="preserve">Start from a proven front end. </w:t>
      </w:r>
      <w:r>
        <w:t xml:space="preserve">Reusing a kids’ go-kart’s front axle and steering is the highest-value entry-level move [13].</w:t>
      </w:r>
    </w:p>
    <w:p>
      <w:pPr>
        <w:pStyle w:val="ListParagraph"/>
        <w:numPr>
          <w:ilvl w:val="0"/>
          <w:numId w:val="2"/>
        </w:numPr>
        <w:spacing w:after="60" w:line="264"/>
      </w:pPr>
      <w:r>
        <w:rPr>
          <w:b/>
          <w:bCs/>
        </w:rPr>
        <w:t xml:space="preserve">Go low. </w:t>
      </w:r>
      <w:r>
        <w:t xml:space="preserve">A low, central centre of gravity is on every fast-cart checklist [10].</w:t>
      </w:r>
    </w:p>
    <w:p>
      <w:pPr>
        <w:pStyle w:val="ListParagraph"/>
        <w:numPr>
          <w:ilvl w:val="0"/>
          <w:numId w:val="2"/>
        </w:numPr>
        <w:spacing w:after="60" w:line="264"/>
      </w:pPr>
      <w:r>
        <w:rPr>
          <w:b/>
          <w:bCs/>
        </w:rPr>
        <w:t xml:space="preserve">Make it stiff, brace the roll bar, harness the driver. </w:t>
      </w:r>
      <w:r>
        <w:t xml:space="preserve">Confidence in the cart is what lets a driver carry speed [10].</w:t>
      </w:r>
    </w:p>
    <w:p>
      <w:pPr>
        <w:pStyle w:val="ListParagraph"/>
        <w:numPr>
          <w:ilvl w:val="0"/>
          <w:numId w:val="2"/>
        </w:numPr>
        <w:spacing w:after="60" w:line="264"/>
      </w:pPr>
      <w:r>
        <w:rPr>
          <w:b/>
          <w:bCs/>
        </w:rPr>
        <w:t xml:space="preserve">Mind the start-ramp lip. </w:t>
      </w:r>
      <w:r>
        <w:t xml:space="preserve">Keep front ground clearance so the nose does not scrape and jam where the ramp meets the road.</w:t>
      </w:r>
    </w:p>
    <w:p>
      <w:pPr>
        <w:pStyle w:val="ListParagraph"/>
        <w:numPr>
          <w:ilvl w:val="0"/>
          <w:numId w:val="2"/>
        </w:numPr>
        <w:spacing w:after="60" w:line="264"/>
      </w:pPr>
      <w:r>
        <w:rPr>
          <w:b/>
          <w:bCs/>
        </w:rPr>
        <w:t xml:space="preserve">Test before race day. </w:t>
      </w:r>
      <w:r>
        <w:t xml:space="preserve">Tow-test for steering and brakes on a rope first, then build up the slope — do not discover a speed wobble on the day [13].</w:t>
      </w:r>
    </w:p>
    <w:p>
      <w:pPr>
        <w:pStyle w:val="ListParagraph"/>
        <w:numPr>
          <w:ilvl w:val="0"/>
          <w:numId w:val="2"/>
        </w:numPr>
        <w:spacing w:after="60" w:line="264"/>
      </w:pPr>
      <w:r>
        <w:rPr>
          <w:b/>
          <w:bCs/>
        </w:rPr>
        <w:t xml:space="preserve">Don’t over-build the spectacle at the cost of survival. </w:t>
      </w:r>
      <w:r>
        <w:t xml:space="preserve">Tall, elaborate carts that disintegrate on the first jump score nothing on speed. Keep decorative panels light and sacrificial.</w:t>
      </w:r>
    </w:p>
    <w:p>
      <w:pPr>
        <w:pStyle w:val="Heading1"/>
      </w:pPr>
      <w:r>
        <w:t xml:space="preserve">10. Indicative bill of materials</w:t>
      </w:r>
    </w:p>
    <w:p>
      <w:pPr>
        <w:spacing w:after="120" w:line="276"/>
      </w:pPr>
      <w:r>
        <w:rPr>
          <w:b/>
          <w:bCs/>
        </w:rPr>
        <w:t xml:space="preserve">Read this as a planning guide. </w:t>
      </w:r>
      <w:r>
        <w:t xml:space="preserve">Items marked “verified” come from supplier listings gathered in research; items marked “estimate” are market ranges to confirm in-store. A no-weld ply-and-bolt build with a salvaged donor kart can realistically come in well under R3,000 for the functional cart, leaving budget for the theme and costume.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126"/>
        <w:gridCol w:w="1500"/>
      </w:tblGrid>
      <w:tr>
        <w:trPr>
          <w:tblHeader/>
        </w:trPr>
        <w:tc>
          <w:tcPr>
            <w:tcW w:type="dxa" w:w="2700"/>
            <w:tcBorders>
              <w:top w:val="single" w:color="CCCCCC" w:sz="1"/>
              <w:left w:val="single" w:color="CCCCCC" w:sz="1"/>
              <w:bottom w:val="single" w:color="CCCCCC" w:sz="1"/>
              <w:right w:val="single" w:color="CCCCCC" w:sz="1"/>
            </w:tcBorders>
            <w:shd w:fill="FAE3DF" w:val="clear"/>
            <w:tcMar>
              <w:top w:type="dxa" w:w="70"/>
              <w:left w:type="dxa" w:w="110"/>
              <w:bottom w:type="dxa" w:w="70"/>
              <w:right w:type="dxa" w:w="110"/>
            </w:tcMar>
          </w:tcPr>
          <w:p>
            <w:pPr>
              <w:spacing w:after="0"/>
            </w:pPr>
            <w:r>
              <w:rPr>
                <w:b/>
                <w:bCs/>
              </w:rPr>
              <w:t xml:space="preserve">Item</w:t>
            </w:r>
          </w:p>
        </w:tc>
        <w:tc>
          <w:tcPr>
            <w:tcW w:type="dxa" w:w="2700"/>
            <w:tcBorders>
              <w:top w:val="single" w:color="CCCCCC" w:sz="1"/>
              <w:left w:val="single" w:color="CCCCCC" w:sz="1"/>
              <w:bottom w:val="single" w:color="CCCCCC" w:sz="1"/>
              <w:right w:val="single" w:color="CCCCCC" w:sz="1"/>
            </w:tcBorders>
            <w:shd w:fill="FAE3DF" w:val="clear"/>
            <w:tcMar>
              <w:top w:type="dxa" w:w="70"/>
              <w:left w:type="dxa" w:w="110"/>
              <w:bottom w:type="dxa" w:w="70"/>
              <w:right w:type="dxa" w:w="110"/>
            </w:tcMar>
          </w:tcPr>
          <w:p>
            <w:pPr>
              <w:spacing w:after="0"/>
            </w:pPr>
            <w:r>
              <w:rPr>
                <w:b/>
                <w:bCs/>
              </w:rPr>
              <w:t xml:space="preserve">Source / note</w:t>
            </w:r>
          </w:p>
        </w:tc>
        <w:tc>
          <w:tcPr>
            <w:tcW w:type="dxa" w:w="2126"/>
            <w:tcBorders>
              <w:top w:val="single" w:color="CCCCCC" w:sz="1"/>
              <w:left w:val="single" w:color="CCCCCC" w:sz="1"/>
              <w:bottom w:val="single" w:color="CCCCCC" w:sz="1"/>
              <w:right w:val="single" w:color="CCCCCC" w:sz="1"/>
            </w:tcBorders>
            <w:shd w:fill="FAE3DF" w:val="clear"/>
            <w:tcMar>
              <w:top w:type="dxa" w:w="70"/>
              <w:left w:type="dxa" w:w="110"/>
              <w:bottom w:type="dxa" w:w="70"/>
              <w:right w:type="dxa" w:w="110"/>
            </w:tcMar>
          </w:tcPr>
          <w:p>
            <w:pPr>
              <w:spacing w:after="0"/>
            </w:pPr>
            <w:r>
              <w:rPr>
                <w:b/>
                <w:bCs/>
              </w:rPr>
              <w:t xml:space="preserve">Indicative price (ZAR)</w:t>
            </w:r>
          </w:p>
        </w:tc>
        <w:tc>
          <w:tcPr>
            <w:tcW w:type="dxa" w:w="1500"/>
            <w:tcBorders>
              <w:top w:val="single" w:color="CCCCCC" w:sz="1"/>
              <w:left w:val="single" w:color="CCCCCC" w:sz="1"/>
              <w:bottom w:val="single" w:color="CCCCCC" w:sz="1"/>
              <w:right w:val="single" w:color="CCCCCC" w:sz="1"/>
            </w:tcBorders>
            <w:shd w:fill="FAE3DF" w:val="clear"/>
            <w:tcMar>
              <w:top w:type="dxa" w:w="70"/>
              <w:left w:type="dxa" w:w="110"/>
              <w:bottom w:type="dxa" w:w="70"/>
              <w:right w:type="dxa" w:w="110"/>
            </w:tcMar>
          </w:tcPr>
          <w:p>
            <w:pPr>
              <w:spacing w:after="0"/>
            </w:pPr>
            <w:r>
              <w:rPr>
                <w:b/>
                <w:bCs/>
              </w:rPr>
              <w:t xml:space="preserve">Status</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Shutterply, 12 mm sheet</w:t>
            </w:r>
          </w:p>
        </w:tc>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BUCO listing</w:t>
            </w:r>
          </w:p>
        </w:tc>
        <w:tc>
          <w:tcPr>
            <w:tcW w:type="dxa" w:w="2126"/>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From ~R666 [21]</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Verified — confirm</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Shutterply, 18 mm sheet</w:t>
            </w:r>
          </w:p>
        </w:tc>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BUCO listing</w:t>
            </w:r>
          </w:p>
        </w:tc>
        <w:tc>
          <w:tcPr>
            <w:tcW w:type="dxa" w:w="2126"/>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From ~R620 [21]</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Verified — confirm</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Angle iron 25×25×2.0 mm, 6 m</w:t>
            </w:r>
          </w:p>
        </w:tc>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Steel &amp; Pipes for Africa listing</w:t>
            </w:r>
          </w:p>
        </w:tc>
        <w:tc>
          <w:tcPr>
            <w:tcW w:type="dxa" w:w="2126"/>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~R72 each [22]</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Verified — confirm</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Square tube 25×25×1.5 mm, 6 m</w:t>
            </w:r>
          </w:p>
        </w:tc>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Steel &amp; Pipes for Africa listing</w:t>
            </w:r>
          </w:p>
        </w:tc>
        <w:tc>
          <w:tcPr>
            <w:tcW w:type="dxa" w:w="2126"/>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~R119 each [22]</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Verified — confirm</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Used kids’ pedal go-kart (steering/axle donor)</w:t>
            </w:r>
          </w:p>
        </w:tc>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Gumtree / Marketplace</w:t>
            </w:r>
          </w:p>
        </w:tc>
        <w:tc>
          <w:tcPr>
            <w:tcW w:type="dxa" w:w="2126"/>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R300–R1,000</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 Estimate</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Pneumatic wheels (pair) + bearings</w:t>
            </w:r>
          </w:p>
        </w:tc>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Builders / Cashbuild / Leroy Merlin</w:t>
            </w:r>
          </w:p>
        </w:tc>
        <w:tc>
          <w:tcPr>
            <w:tcW w:type="dxa" w:w="2126"/>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R300–R700</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 Estimate</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Mechanical disc brake set + pads</w:t>
            </w:r>
          </w:p>
        </w:tc>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Bike shop / online</w:t>
            </w:r>
          </w:p>
        </w:tc>
        <w:tc>
          <w:tcPr>
            <w:tcW w:type="dxa" w:w="2126"/>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R250–R600</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 Estimate</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Correx / foam / paint / fasteners</w:t>
            </w:r>
          </w:p>
        </w:tc>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Hardware + signage printer</w:t>
            </w:r>
          </w:p>
        </w:tc>
        <w:tc>
          <w:tcPr>
            <w:tcW w:type="dxa" w:w="2126"/>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R1,000–R1,500</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 Estimate</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Costume (gas-cylinder driver)</w:t>
            </w:r>
          </w:p>
        </w:tc>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DIY</w:t>
            </w:r>
          </w:p>
        </w:tc>
        <w:tc>
          <w:tcPr>
            <w:tcW w:type="dxa" w:w="2126"/>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~R500</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 Estimate</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Outsourced welding (stressed joints only)</w:t>
            </w:r>
          </w:p>
        </w:tc>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JHB fabricator</w:t>
            </w:r>
          </w:p>
        </w:tc>
        <w:tc>
          <w:tcPr>
            <w:tcW w:type="dxa" w:w="2126"/>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R1,500–R3,500 labour</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 Estimate / optional</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4"/>
              <w:left w:val="single" w:color="E67E22" w:sz="12"/>
              <w:bottom w:val="single" w:color="E67E22" w:sz="4"/>
              <w:right w:val="single" w:color="E67E22" w:sz="4"/>
            </w:tcBorders>
            <w:shd w:fill="FBE9D0" w:val="clear"/>
            <w:tcMar>
              <w:top w:type="dxa" w:w="120"/>
              <w:left w:type="dxa" w:w="160"/>
              <w:bottom w:type="dxa" w:w="120"/>
              <w:right w:type="dxa" w:w="160"/>
            </w:tcMar>
          </w:tcPr>
          <w:p>
            <w:pPr>
              <w:spacing w:after="0" w:line="264"/>
            </w:pPr>
            <w:r>
              <w:rPr>
                <w:b/>
                <w:bCs/>
                <w:color w:val="C0392B"/>
              </w:rPr>
              <w:t xml:space="preserve">⚠ Prices change and several SA retailers hide prices behind store selection. </w:t>
            </w:r>
            <w:r>
              <w:t xml:space="preserve">Confirm every line in-store/online before budgeting. Treat the totals as order-of-magnitude, not a quote.</w:t>
            </w:r>
          </w:p>
        </w:tc>
      </w:tr>
    </w:tbl>
    <w:p>
      <w:pPr>
        <w:pStyle w:val="Heading1"/>
      </w:pPr>
      <w:r>
        <w:t xml:space="preserve">11. Risk register — common failure modes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CCCCCC" w:sz="1"/>
              <w:left w:val="single" w:color="CCCCCC" w:sz="1"/>
              <w:bottom w:val="single" w:color="CCCCCC" w:sz="1"/>
              <w:right w:val="single" w:color="CCCCCC" w:sz="1"/>
            </w:tcBorders>
            <w:shd w:fill="FAE3DF" w:val="clear"/>
            <w:tcMar>
              <w:top w:type="dxa" w:w="70"/>
              <w:left w:type="dxa" w:w="110"/>
              <w:bottom w:type="dxa" w:w="70"/>
              <w:right w:type="dxa" w:w="110"/>
            </w:tcMar>
          </w:tcPr>
          <w:p>
            <w:pPr>
              <w:spacing w:after="0"/>
            </w:pPr>
            <w:r>
              <w:rPr>
                <w:b/>
                <w:bCs/>
              </w:rPr>
              <w:t xml:space="preserve">Risk</w:t>
            </w:r>
          </w:p>
        </w:tc>
        <w:tc>
          <w:tcPr>
            <w:tcW w:type="dxa" w:w="5226"/>
            <w:tcBorders>
              <w:top w:val="single" w:color="CCCCCC" w:sz="1"/>
              <w:left w:val="single" w:color="CCCCCC" w:sz="1"/>
              <w:bottom w:val="single" w:color="CCCCCC" w:sz="1"/>
              <w:right w:val="single" w:color="CCCCCC" w:sz="1"/>
            </w:tcBorders>
            <w:shd w:fill="FAE3DF" w:val="clear"/>
            <w:tcMar>
              <w:top w:type="dxa" w:w="70"/>
              <w:left w:type="dxa" w:w="110"/>
              <w:bottom w:type="dxa" w:w="70"/>
              <w:right w:type="dxa" w:w="110"/>
            </w:tcMar>
          </w:tcPr>
          <w:p>
            <w:pPr>
              <w:spacing w:after="0"/>
            </w:pPr>
            <w:r>
              <w:rPr>
                <w:b/>
                <w:bCs/>
              </w:rPr>
              <w:t xml:space="preserve">Mitigation</w:t>
            </w:r>
          </w:p>
        </w:tc>
      </w:tr>
      <w:tr>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Fails tech inspection on brakes or steering</w:t>
            </w:r>
          </w:p>
        </w:tc>
        <w:tc>
          <w:tcPr>
            <w:tcW w:type="dxa" w:w="5226"/>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Build and test both first; they are the gate item [5]</w:t>
            </w:r>
          </w:p>
        </w:tc>
      </w:tr>
      <w:tr>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Over the 80 kg limit / over size</w:t>
            </w:r>
          </w:p>
        </w:tc>
        <w:tc>
          <w:tcPr>
            <w:tcW w:type="dxa" w:w="5226"/>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Weigh and measure against the rulebook before inspection; strip structural steel in favour of ply if heavy [1]</w:t>
            </w:r>
          </w:p>
        </w:tc>
      </w:tr>
      <w:tr>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Battery glow effect rejected at inspection</w:t>
            </w:r>
          </w:p>
        </w:tc>
        <w:tc>
          <w:tcPr>
            <w:tcW w:type="dxa" w:w="5226"/>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Effect is mechanical / airflow-driven only — no batteries [1]</w:t>
            </w:r>
          </w:p>
        </w:tc>
      </w:tr>
      <w:tr>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Tall heater shape is slow or unstable</w:t>
            </w:r>
          </w:p>
        </w:tc>
        <w:tc>
          <w:tcPr>
            <w:tcW w:type="dxa" w:w="5226"/>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Rake the body, hollow the top, boat-tail the rear, widen the track, ballast low (Section 5)</w:t>
            </w:r>
          </w:p>
        </w:tc>
      </w:tr>
      <w:tr>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Wheels splay / axle snaps on a jump</w:t>
            </w:r>
          </w:p>
        </w:tc>
        <w:tc>
          <w:tcPr>
            <w:tcW w:type="dxa" w:w="5226"/>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Strong axle mounts, ~20″ robust pneumatic wheels, not pram wheels [9][10]</w:t>
            </w:r>
          </w:p>
        </w:tc>
      </w:tr>
      <w:tr>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Speed wobble</w:t>
            </w:r>
          </w:p>
        </w:tc>
        <w:tc>
          <w:tcPr>
            <w:tcW w:type="dxa" w:w="5226"/>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Stiff chassis, low CoG, firm-fixed steering, controlled braking; find it in testing, not on the day [10][13]</w:t>
            </w:r>
          </w:p>
        </w:tc>
      </w:tr>
      <w:tr>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Nose scrapes the start-ramp lip</w:t>
            </w:r>
          </w:p>
        </w:tc>
        <w:tc>
          <w:tcPr>
            <w:tcW w:type="dxa" w:w="5226"/>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Keep front ground clearance; sacrificial nose</w:t>
            </w:r>
          </w:p>
        </w:tc>
      </w:tr>
      <w:tr>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Sponsor branding rejected / too late</w:t>
            </w:r>
          </w:p>
        </w:tc>
        <w:tc>
          <w:tcPr>
            <w:tcW w:type="dxa" w:w="5226"/>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Submit sponsor to Red Bull ≥6 weeks out; approved logo size only [6]</w:t>
            </w:r>
          </w:p>
        </w:tc>
      </w:tr>
      <w:tr>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Decorative panels jam a wheel</w:t>
            </w:r>
          </w:p>
        </w:tc>
        <w:tc>
          <w:tcPr>
            <w:tcW w:type="dxa" w:w="5226"/>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b w:val="false"/>
                <w:bCs w:val="false"/>
              </w:rPr>
              <w:t xml:space="preserve">Mount panels so they shed cleanly and cannot foul wheels/steering</w:t>
            </w:r>
          </w:p>
        </w:tc>
      </w:tr>
    </w:tbl>
    <w:p>
      <w:pPr>
        <w:pStyle w:val="Heading1"/>
      </w:pPr>
      <w:r>
        <w:t xml:space="preserve">12. Pre-race / tech-inspection checklist</w:t>
      </w:r>
    </w:p>
    <w:p>
      <w:pPr>
        <w:pStyle w:val="ListParagraph"/>
        <w:numPr>
          <w:ilvl w:val="0"/>
          <w:numId w:val="2"/>
        </w:numPr>
        <w:spacing w:after="60" w:line="264"/>
      </w:pPr>
      <w:r>
        <w:t xml:space="preserve">Cart under 6 m long, under 2 m wide, under 2.5 m tall [1].</w:t>
      </w:r>
    </w:p>
    <w:p>
      <w:pPr>
        <w:pStyle w:val="ListParagraph"/>
        <w:numPr>
          <w:ilvl w:val="0"/>
          <w:numId w:val="2"/>
        </w:numPr>
        <w:spacing w:after="60" w:line="264"/>
      </w:pPr>
      <w:r>
        <w:t xml:space="preserve">Cart under 80 kg excluding the driver (weighed) [1].</w:t>
      </w:r>
    </w:p>
    <w:p>
      <w:pPr>
        <w:pStyle w:val="ListParagraph"/>
        <w:numPr>
          <w:ilvl w:val="0"/>
          <w:numId w:val="2"/>
        </w:numPr>
        <w:spacing w:after="60" w:line="264"/>
      </w:pPr>
      <w:r>
        <w:t xml:space="preserve">No engine, battery, petrol, electrical cord, catapult or stored energy anywhere [1].</w:t>
      </w:r>
    </w:p>
    <w:p>
      <w:pPr>
        <w:pStyle w:val="ListParagraph"/>
        <w:numPr>
          <w:ilvl w:val="0"/>
          <w:numId w:val="2"/>
        </w:numPr>
        <w:spacing w:after="60" w:line="264"/>
      </w:pPr>
      <w:r>
        <w:t xml:space="preserve">Steering fitted, firmly mounted, and working [5].</w:t>
      </w:r>
    </w:p>
    <w:p>
      <w:pPr>
        <w:pStyle w:val="ListParagraph"/>
        <w:numPr>
          <w:ilvl w:val="0"/>
          <w:numId w:val="2"/>
        </w:numPr>
        <w:spacing w:after="60" w:line="264"/>
      </w:pPr>
      <w:r>
        <w:t xml:space="preserve">Brakes fitted and able to stop the loaded cart [5].</w:t>
      </w:r>
    </w:p>
    <w:p>
      <w:pPr>
        <w:pStyle w:val="ListParagraph"/>
        <w:numPr>
          <w:ilvl w:val="0"/>
          <w:numId w:val="2"/>
        </w:numPr>
        <w:spacing w:after="60" w:line="264"/>
      </w:pPr>
      <w:r>
        <w:t xml:space="preserve">Adequate front ground clearance for the start ramp.</w:t>
      </w:r>
    </w:p>
    <w:p>
      <w:pPr>
        <w:pStyle w:val="ListParagraph"/>
        <w:numPr>
          <w:ilvl w:val="0"/>
          <w:numId w:val="2"/>
        </w:numPr>
        <w:spacing w:after="60" w:line="264"/>
      </w:pPr>
      <w:r>
        <w:t xml:space="preserve">Driver has helmet, long sleeves, long trousers, gloves, closed shoes — built into the costume [5][10].</w:t>
      </w:r>
    </w:p>
    <w:p>
      <w:pPr>
        <w:pStyle w:val="ListParagraph"/>
        <w:numPr>
          <w:ilvl w:val="0"/>
          <w:numId w:val="2"/>
        </w:numPr>
        <w:spacing w:after="60" w:line="264"/>
      </w:pPr>
      <w:r>
        <w:t xml:space="preserve">Roll protection braced; cockpit padded; driver harnessed for testing and racing [10].</w:t>
      </w:r>
    </w:p>
    <w:p>
      <w:pPr>
        <w:pStyle w:val="ListParagraph"/>
        <w:numPr>
          <w:ilvl w:val="0"/>
          <w:numId w:val="2"/>
        </w:numPr>
        <w:spacing w:after="60" w:line="264"/>
      </w:pPr>
      <w:r>
        <w:t xml:space="preserve">Gas bottle is an empty decoy; no naked flame, no pyrotechnics, no smoke canisters [7].</w:t>
      </w:r>
    </w:p>
    <w:p>
      <w:pPr>
        <w:pStyle w:val="ListParagraph"/>
        <w:numPr>
          <w:ilvl w:val="0"/>
          <w:numId w:val="2"/>
        </w:numPr>
        <w:spacing w:after="60" w:line="264"/>
      </w:pPr>
      <w:r>
        <w:t xml:space="preserve">Decorative panels mounted so they cannot jam wheels or steering.</w:t>
      </w:r>
    </w:p>
    <w:p>
      <w:pPr>
        <w:pStyle w:val="ListParagraph"/>
        <w:numPr>
          <w:ilvl w:val="0"/>
          <w:numId w:val="2"/>
        </w:numPr>
        <w:spacing w:after="60" w:line="264"/>
      </w:pPr>
      <w:r>
        <w:t xml:space="preserve">Sponsor logos in the Red Bull-approved form and size only [6].</w:t>
      </w:r>
    </w:p>
    <w:p>
      <w:pPr>
        <w:pStyle w:val="ListParagraph"/>
        <w:numPr>
          <w:ilvl w:val="0"/>
          <w:numId w:val="2"/>
        </w:numPr>
        <w:spacing w:after="60" w:line="264"/>
      </w:pPr>
      <w:r>
        <w:t xml:space="preserve">Skit rehearsed and timed; roles assigned to all team members.</w:t>
      </w:r>
    </w:p>
    <w:p>
      <w:pPr>
        <w:pStyle w:val="Heading1"/>
      </w:pPr>
      <w:r>
        <w:t xml:space="preserve">13. Sources and verification status</w:t>
      </w:r>
    </w:p>
    <w:p>
      <w:pPr>
        <w:spacing w:after="120" w:line="276"/>
      </w:pPr>
      <w:r>
        <w:t xml:space="preserve">Every numbered reference below is a reputable, primary or well-established source. Official Red Bull pages are primary for rules and event facts; specialist soapbox/CFD/CAD sources are used for build technique and tooling. Where sources conflict, the document flags it (⚠) rather than choosing silently.</w:t>
      </w:r>
    </w:p>
    <w:p>
      <w:pPr>
        <w:pStyle w:val="ListParagraph"/>
        <w:numPr>
          <w:ilvl w:val="0"/>
          <w:numId w:val="3"/>
        </w:numPr>
        <w:spacing w:after="80" w:line="264"/>
      </w:pPr>
      <w:r>
        <w:t xml:space="preserve">Red Bull — Box Cart Race South Africa, Official Rules (dimensions, weight, gravity-only). </w:t>
      </w:r>
      <w:hyperlink w:history="1" r:id="rIdfhsyrzdp-u2ttrdsex_go">
        <w:r>
          <w:rPr>
            <w:rStyle w:val="Hyperlink"/>
          </w:rPr>
          <w:t xml:space="preserve">redbull.com/za-en/events/red-bull-box-cart-race-south-africa/red-bull-box-cart-rules</w:t>
        </w:r>
      </w:hyperlink>
    </w:p>
    <w:p>
      <w:pPr>
        <w:pStyle w:val="ListParagraph"/>
        <w:numPr>
          <w:ilvl w:val="0"/>
          <w:numId w:val="3"/>
        </w:numPr>
        <w:spacing w:after="80" w:line="264"/>
      </w:pPr>
      <w:r>
        <w:t xml:space="preserve">Red Bull — Box Cart Race South Africa, How to Apply (date listed 20 Sep 2026; 4-step application). </w:t>
      </w:r>
      <w:hyperlink w:history="1" r:id="rIdok4imoyzjc8ftxmnboidd">
        <w:r>
          <w:rPr>
            <w:rStyle w:val="Hyperlink"/>
          </w:rPr>
          <w:t xml:space="preserve">redbull.com/za-en/events/red-bull-box-cart-race-south-africa/red-bull-soapbox-application</w:t>
        </w:r>
      </w:hyperlink>
    </w:p>
    <w:p>
      <w:pPr>
        <w:pStyle w:val="ListParagraph"/>
        <w:numPr>
          <w:ilvl w:val="0"/>
          <w:numId w:val="3"/>
        </w:numPr>
        <w:spacing w:after="80" w:line="264"/>
      </w:pPr>
      <w:r>
        <w:t xml:space="preserve">Red Bull — “Box Cart Race Returns to Joburg in 2026” editorial (date listed 27 Sep 2026; history; Potjie Boytjies; 2018 = 80 teams; free entry). </w:t>
      </w:r>
      <w:hyperlink w:history="1" r:id="rId2e9_lryivfi49bgfgggnp">
        <w:r>
          <w:rPr>
            <w:rStyle w:val="Hyperlink"/>
          </w:rPr>
          <w:t xml:space="preserve">redbull.com/za-en/red-bull-box-cart-race-joburg-2026</w:t>
        </w:r>
      </w:hyperlink>
    </w:p>
    <w:p>
      <w:pPr>
        <w:pStyle w:val="ListParagraph"/>
        <w:numPr>
          <w:ilvl w:val="0"/>
          <w:numId w:val="3"/>
        </w:numPr>
        <w:spacing w:after="80" w:line="264"/>
      </w:pPr>
      <w:r>
        <w:t xml:space="preserve">HYPE Magazine — “Red Bull Box Cart Race Returns to Sandton in 2026” (date 20 Sep 2026; teams up to five). </w:t>
      </w:r>
      <w:hyperlink w:history="1" r:id="rIdm6avyjsd69rkhgfj18dh_">
        <w:r>
          <w:rPr>
            <w:rStyle w:val="Hyperlink"/>
          </w:rPr>
          <w:t xml:space="preserve">hypemagazine.co.za/2026/06/09/red-bull-box-cart-race-returns-to-sandton-in-2026/</w:t>
        </w:r>
      </w:hyperlink>
    </w:p>
    <w:p>
      <w:pPr>
        <w:pStyle w:val="ListParagraph"/>
        <w:numPr>
          <w:ilvl w:val="0"/>
          <w:numId w:val="3"/>
        </w:numPr>
        <w:spacing w:after="80" w:line="264"/>
      </w:pPr>
      <w:r>
        <w:t xml:space="preserve">Red Bull — Soapbox Race Official Rules (judging on design/performance/showmanship; fastest “looked on favourably”; pit crew of 4 push to start line; must finish in vehicle; gravity-only). </w:t>
      </w:r>
      <w:hyperlink w:history="1" r:id="rIdondymo7yfv7pk3hhfuixl">
        <w:r>
          <w:rPr>
            <w:rStyle w:val="Hyperlink"/>
          </w:rPr>
          <w:t xml:space="preserve">redbull.com/us-en/events/soapbox-race-la-usa-2026/rules-sbr-la</w:t>
        </w:r>
      </w:hyperlink>
    </w:p>
    <w:p>
      <w:pPr>
        <w:pStyle w:val="ListParagraph"/>
        <w:numPr>
          <w:ilvl w:val="0"/>
          <w:numId w:val="3"/>
        </w:numPr>
        <w:spacing w:after="80" w:line="264"/>
      </w:pPr>
      <w:r>
        <w:t xml:space="preserve">Red Bull — Soapbox Race Terms &amp; Conditions (third-party sponsorship: ≥6 weeks notice/approval, no competing energy drink, approved logo form/size, Red Bull may deny). </w:t>
      </w:r>
      <w:hyperlink w:history="1" r:id="rIdg_zcbrreyi_5tal36ixbc">
        <w:r>
          <w:rPr>
            <w:rStyle w:val="Hyperlink"/>
          </w:rPr>
          <w:t xml:space="preserve">redbull.com/us-en/events/soapbox-race-2017-los-angeles/soapbox-race-2017-terms-conditions</w:t>
        </w:r>
      </w:hyperlink>
    </w:p>
    <w:p>
      <w:pPr>
        <w:pStyle w:val="ListParagraph"/>
        <w:numPr>
          <w:ilvl w:val="0"/>
          <w:numId w:val="3"/>
        </w:numPr>
        <w:spacing w:after="80" w:line="264"/>
      </w:pPr>
      <w:r>
        <w:t xml:space="preserve">Red Bull — Soapbox Race Rules (UK/London): no pyrotechnics or smoke canisters; size/clearance figures. </w:t>
      </w:r>
      <w:hyperlink w:history="1" r:id="rIdi0kusbb6gl-bh0hesz7uh">
        <w:r>
          <w:rPr>
            <w:rStyle w:val="Hyperlink"/>
          </w:rPr>
          <w:t xml:space="preserve">redbull.com/gb-en/events/red-bull-soapbox-race-london-2026/red-bull-soapbox-race-rules-2025-11-10</w:t>
        </w:r>
      </w:hyperlink>
    </w:p>
    <w:p>
      <w:pPr>
        <w:pStyle w:val="ListParagraph"/>
        <w:numPr>
          <w:ilvl w:val="0"/>
          <w:numId w:val="3"/>
        </w:numPr>
        <w:spacing w:after="80" w:line="264"/>
      </w:pPr>
      <w:r>
        <w:t xml:space="preserve">Wikipedia — Red Bull Soapbox Race (event history; no gas-heater/cylinder cart found; world speed record 72 km/h). </w:t>
      </w:r>
      <w:hyperlink w:history="1" r:id="rIdku2foosieinve9f250lcq">
        <w:r>
          <w:rPr>
            <w:rStyle w:val="Hyperlink"/>
          </w:rPr>
          <w:t xml:space="preserve">en.wikipedia.org/wiki/Red_Bull_Soapbox_Race</w:t>
        </w:r>
      </w:hyperlink>
    </w:p>
    <w:p>
      <w:pPr>
        <w:pStyle w:val="ListParagraph"/>
        <w:numPr>
          <w:ilvl w:val="0"/>
          <w:numId w:val="3"/>
        </w:numPr>
        <w:spacing w:after="80" w:line="264"/>
      </w:pPr>
      <w:r>
        <w:t xml:space="preserve">Wikipedia — Gravity racer (fixed rear + steerable front beam axle norm; wheel/bearing choices; plywood/correx bodywork; speeds). </w:t>
      </w:r>
      <w:hyperlink w:history="1" r:id="rIdpsts881m1qy6lqirgqlf2">
        <w:r>
          <w:rPr>
            <w:rStyle w:val="Hyperlink"/>
          </w:rPr>
          <w:t xml:space="preserve">en.wikipedia.org/wiki/Gravity_racer</w:t>
        </w:r>
      </w:hyperlink>
    </w:p>
    <w:p>
      <w:pPr>
        <w:pStyle w:val="ListParagraph"/>
        <w:numPr>
          <w:ilvl w:val="0"/>
          <w:numId w:val="3"/>
        </w:numPr>
        <w:spacing w:after="80" w:line="264"/>
      </w:pPr>
      <w:r>
        <w:t xml:space="preserve">Scottish Carties Association — “8 Characteristics of the Fastest Soapbox Racers” (drag above ~20 mph, small frontal area, low rolling resistance, stiff chassis, brakes, low central CoG, weight strategy, harness/roll bar). </w:t>
      </w:r>
      <w:hyperlink w:history="1" r:id="rId-ayizls0rzz31j38mukp0">
        <w:r>
          <w:rPr>
            <w:rStyle w:val="Hyperlink"/>
          </w:rPr>
          <w:t xml:space="preserve">scottishcarties.org.uk/news/8+Characteristics+of+the+Fastest+Soapbox+Racers</w:t>
        </w:r>
      </w:hyperlink>
    </w:p>
    <w:p>
      <w:pPr>
        <w:pStyle w:val="ListParagraph"/>
        <w:numPr>
          <w:ilvl w:val="0"/>
          <w:numId w:val="3"/>
        </w:numPr>
        <w:spacing w:after="80" w:line="264"/>
      </w:pPr>
      <w:r>
        <w:t xml:space="preserve">Scottish Carties Association — “Suspension” (trade-offs; soft suspension causes handling problems; cheap mini-moto shocks). </w:t>
      </w:r>
      <w:hyperlink w:history="1" r:id="rId33zfypfrmpxylpdyfcqk8">
        <w:r>
          <w:rPr>
            <w:rStyle w:val="Hyperlink"/>
          </w:rPr>
          <w:t xml:space="preserve">scottishcarties.org.uk/node/406</w:t>
        </w:r>
      </w:hyperlink>
    </w:p>
    <w:p>
      <w:pPr>
        <w:pStyle w:val="ListParagraph"/>
        <w:numPr>
          <w:ilvl w:val="0"/>
          <w:numId w:val="3"/>
        </w:numPr>
        <w:spacing w:after="80" w:line="264"/>
      </w:pPr>
      <w:r>
        <w:t xml:space="preserve">Gravity Racer blog — “The No Compromise gravity racer” (wheel size vs drag; track vs wheelbase; pivoting-axle concept). </w:t>
      </w:r>
      <w:hyperlink w:history="1" r:id="rIdvglspwbr2ivzmchpegm1i">
        <w:r>
          <w:rPr>
            <w:rStyle w:val="Hyperlink"/>
          </w:rPr>
          <w:t xml:space="preserve">gravityracer.blogspot.com/2014/11/the-no-compromise-gravity-racer.html</w:t>
        </w:r>
      </w:hyperlink>
    </w:p>
    <w:p>
      <w:pPr>
        <w:pStyle w:val="ListParagraph"/>
        <w:numPr>
          <w:ilvl w:val="0"/>
          <w:numId w:val="3"/>
        </w:numPr>
        <w:spacing w:after="80" w:line="264"/>
      </w:pPr>
      <w:r>
        <w:t xml:space="preserve">Stuff.tv — “How to build a gravity racer” (pitman-arm steering; SketchUp; aerodynamics; jumps; triangulated roll cage; weight vs course). </w:t>
      </w:r>
      <w:hyperlink w:history="1" r:id="rIdzezcjdawcgdw-tgcrcu8d">
        <w:r>
          <w:rPr>
            <w:rStyle w:val="Hyperlink"/>
          </w:rPr>
          <w:t xml:space="preserve">stuff.tv/features/get-your-soapbox-how-build-gravity-racer/</w:t>
        </w:r>
      </w:hyperlink>
    </w:p>
    <w:p>
      <w:pPr>
        <w:pStyle w:val="ListParagraph"/>
        <w:numPr>
          <w:ilvl w:val="0"/>
          <w:numId w:val="3"/>
        </w:numPr>
        <w:spacing w:after="80" w:line="264"/>
      </w:pPr>
      <w:r>
        <w:t xml:space="preserve">Make: — “Adult Soapbox Kart” (full-suspension build, spindles/kingpins, time and parts cost reference). </w:t>
      </w:r>
      <w:hyperlink w:history="1" r:id="rIdhp-f8ghrlwi05mgraf_f9">
        <w:r>
          <w:rPr>
            <w:rStyle w:val="Hyperlink"/>
          </w:rPr>
          <w:t xml:space="preserve">makezine.com/projects/adult-soapbox-kart/</w:t>
        </w:r>
      </w:hyperlink>
    </w:p>
    <w:p>
      <w:pPr>
        <w:pStyle w:val="ListParagraph"/>
        <w:numPr>
          <w:ilvl w:val="0"/>
          <w:numId w:val="3"/>
        </w:numPr>
        <w:spacing w:after="80" w:line="264"/>
      </w:pPr>
      <w:r>
        <w:t xml:space="preserve">SimScale — CFD product / virtual wind tunnel (free community tier; browser-based; AI-assisted meshing). </w:t>
      </w:r>
      <w:hyperlink w:history="1" r:id="rIdiobxyp-n3nem-nbxqkeq4">
        <w:r>
          <w:rPr>
            <w:rStyle w:val="Hyperlink"/>
          </w:rPr>
          <w:t xml:space="preserve">simscale.com/product/cfd/</w:t>
        </w:r>
      </w:hyperlink>
    </w:p>
    <w:p>
      <w:pPr>
        <w:pStyle w:val="ListParagraph"/>
        <w:numPr>
          <w:ilvl w:val="0"/>
          <w:numId w:val="3"/>
        </w:numPr>
        <w:spacing w:after="80" w:line="264"/>
      </w:pPr>
      <w:r>
        <w:t xml:space="preserve">TheCADhub / GaugeHow — Best CFD Software 2026 (OpenFOAM free; SimScale free tier; Autodesk CFD via trial/education). </w:t>
      </w:r>
      <w:hyperlink w:history="1" r:id="rIdal2zrkrgj23hwckah7btv">
        <w:r>
          <w:rPr>
            <w:rStyle w:val="Hyperlink"/>
          </w:rPr>
          <w:t xml:space="preserve">thecadhub.com/blog/top-10-cfd-software-tools/</w:t>
        </w:r>
      </w:hyperlink>
    </w:p>
    <w:p>
      <w:pPr>
        <w:pStyle w:val="ListParagraph"/>
        <w:numPr>
          <w:ilvl w:val="0"/>
          <w:numId w:val="3"/>
        </w:numPr>
        <w:spacing w:after="80" w:line="264"/>
      </w:pPr>
      <w:r>
        <w:t xml:space="preserve">Autodesk — Fusion generative design / simulation extension (AI generative design; cloud credits; free trial/education). </w:t>
      </w:r>
      <w:hyperlink w:history="1" r:id="rIdnse-gmcbylpkd-l6q8_r7">
        <w:r>
          <w:rPr>
            <w:rStyle w:val="Hyperlink"/>
          </w:rPr>
          <w:t xml:space="preserve">autodesk.com/products/fusion-360/blog/topology-optimization-and-autodesk-fusion/</w:t>
        </w:r>
      </w:hyperlink>
    </w:p>
    <w:p>
      <w:pPr>
        <w:pStyle w:val="ListParagraph"/>
        <w:numPr>
          <w:ilvl w:val="0"/>
          <w:numId w:val="3"/>
        </w:numPr>
        <w:spacing w:after="80" w:line="264"/>
      </w:pPr>
      <w:r>
        <w:t xml:space="preserve">AutoCAD Everything / Arched — Fusion generative design (GM bracket 40% lighter / 20% stronger; mesh-to-solid post-processing). </w:t>
      </w:r>
      <w:hyperlink w:history="1" r:id="rIdx3jmdeuvrf3-jgdi87nl-">
        <w:r>
          <w:rPr>
            <w:rStyle w:val="Hyperlink"/>
          </w:rPr>
          <w:t xml:space="preserve">autocadeverything.com/fusion-360-generative-design/</w:t>
        </w:r>
      </w:hyperlink>
    </w:p>
    <w:p>
      <w:pPr>
        <w:pStyle w:val="ListParagraph"/>
        <w:numPr>
          <w:ilvl w:val="0"/>
          <w:numId w:val="3"/>
        </w:numPr>
        <w:spacing w:after="80" w:line="264"/>
      </w:pPr>
      <w:r>
        <w:t xml:space="preserve">Leo AI — Best Generative Design Tools for Fusion 360 (2026) (Claude + Fusion via MCP; complementary tools). </w:t>
      </w:r>
      <w:hyperlink w:history="1" r:id="rIdo2uttwnivg8kbcbzil3cg">
        <w:r>
          <w:rPr>
            <w:rStyle w:val="Hyperlink"/>
          </w:rPr>
          <w:t xml:space="preserve">getleo.ai/blog/best-generative-design-tools-fusion-360</w:t>
        </w:r>
      </w:hyperlink>
    </w:p>
    <w:p>
      <w:pPr>
        <w:pStyle w:val="ListParagraph"/>
        <w:numPr>
          <w:ilvl w:val="0"/>
          <w:numId w:val="3"/>
        </w:numPr>
        <w:spacing w:after="80" w:line="264"/>
      </w:pPr>
      <w:r>
        <w:t xml:space="preserve">CoLab — Best Generative Design AI Tools 2026 (optimization vs generative-AI distinction; text-to-CAD, Spectral SGS-1). </w:t>
      </w:r>
      <w:hyperlink w:history="1" r:id="rIdy-hh30hxsnd-fqx6e8ftj">
        <w:r>
          <w:rPr>
            <w:rStyle w:val="Hyperlink"/>
          </w:rPr>
          <w:t xml:space="preserve">colabsoftware.com/guides/how-generative-design-works-a-guide-for-engineering-managers</w:t>
        </w:r>
      </w:hyperlink>
    </w:p>
    <w:p>
      <w:pPr>
        <w:pStyle w:val="ListParagraph"/>
        <w:numPr>
          <w:ilvl w:val="0"/>
          <w:numId w:val="3"/>
        </w:numPr>
        <w:spacing w:after="80" w:line="264"/>
      </w:pPr>
      <w:r>
        <w:t xml:space="preserve">BUCO — shutterply pricing (12 mm and 18 mm sheets). </w:t>
      </w:r>
      <w:hyperlink w:history="1" r:id="rIdlpc9lyrslntsstganvt1a">
        <w:r>
          <w:rPr>
            <w:rStyle w:val="Hyperlink"/>
          </w:rPr>
          <w:t xml:space="preserve">buco.co.za</w:t>
        </w:r>
      </w:hyperlink>
    </w:p>
    <w:p>
      <w:pPr>
        <w:pStyle w:val="ListParagraph"/>
        <w:numPr>
          <w:ilvl w:val="0"/>
          <w:numId w:val="3"/>
        </w:numPr>
        <w:spacing w:after="80" w:line="264"/>
      </w:pPr>
      <w:r>
        <w:t xml:space="preserve">Steel &amp; Pipes for Africa — angle iron and square tube pricing. </w:t>
      </w:r>
      <w:hyperlink w:history="1" r:id="rId_1cewf88m5rp1ac3v688i">
        <w:r>
          <w:rPr>
            <w:rStyle w:val="Hyperlink"/>
          </w:rPr>
          <w:t xml:space="preserve">steelandpipes.co.za</w:t>
        </w:r>
      </w:hyperlink>
    </w:p>
    <w:p>
      <w:pPr>
        <w:spacing w:after="60"/>
      </w:pPr>
      <w:r>
        <w:t xml:space="preserve"/>
      </w:r>
    </w:p>
    <w:p>
      <w:pPr>
        <w:spacing w:after="120" w:line="276"/>
      </w:pPr>
      <w:r>
        <w:rPr>
          <w:b/>
          <w:bCs/>
          <w:color w:val="C0392B"/>
        </w:rPr>
        <w:t xml:space="preserve">Final accuracy note. </w:t>
      </w:r>
      <w:r>
        <w:t xml:space="preserve">Before the application and before committing budget, re-confirm the three live items directly with Red Bull: (1) the race date (20 vs 27 September), (2) the application deadline, and (3) the exact sponsorship approval window and the binding SA dimension/clearance figures in the 2026 Terms of Participation.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color w:val="5F5E5A"/>
        <w:sz w:val="16"/>
        <w:szCs w:val="16"/>
      </w:rPr>
      <w:t xml:space="preserve">Page </w:t>
    </w:r>
    <w:r>
      <w:rPr>
        <w:color w:val="5F5E5A"/>
        <w:sz w:val="16"/>
        <w:szCs w:val="16"/>
      </w:rPr>
      <w:fldChar w:fldCharType="begin"/>
      <w:instrText xml:space="preserve">PAGE</w:instrText>
      <w:fldChar w:fldCharType="separate"/>
      <w:fldChar w:fldCharType="end"/>
    </w:r>
    <w:r>
      <w:rPr>
        <w:color w:val="5F5E5A"/>
        <w:sz w:val="16"/>
        <w:szCs w:val="16"/>
      </w:rPr>
      <w:t xml:space="preserve"> · Working document, verify ⚠ items before relying on them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spacing w:after="0"/>
      <w:jc w:val="right"/>
    </w:pPr>
    <w:r>
      <w:rPr>
        <w:color w:val="5F5E5A"/>
        <w:sz w:val="16"/>
        <w:szCs w:val="16"/>
      </w:rPr>
      <w:t xml:space="preserve">Red Bull Box Cart Race · Johannesburg 2026 · Team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67E22" w:sz="6" w:space="4"/>
      </w:pBdr>
      <w:spacing w:after="160" w:before="320"/>
      <w:outlineLvl w:val="0"/>
    </w:pPr>
    <w:rPr>
      <w:rFonts w:ascii="Arial" w:cs="Arial" w:eastAsia="Arial" w:hAnsi="Arial"/>
      <w:b/>
      <w:bCs/>
      <w:color w:val="C0392B"/>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A1A1A"/>
      <w:sz w:val="25"/>
      <w:szCs w:val="25"/>
    </w:rPr>
  </w:style>
  <w:style w:type="paragraph" w:styleId="Heading3">
    <w:name w:val="Heading 3"/>
    <w:basedOn w:val="Normal"/>
    <w:next w:val="Normal"/>
    <w:qFormat/>
    <w:pPr>
      <w:spacing w:after="80" w:before="160"/>
      <w:outlineLvl w:val="2"/>
    </w:pPr>
    <w:rPr>
      <w:rFonts w:ascii="Arial" w:cs="Arial" w:eastAsia="Arial" w:hAnsi="Arial"/>
      <w:b/>
      <w:bCs/>
      <w:color w:val="5F5E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fhsyrzdp-u2ttrdsex_go" Type="http://schemas.openxmlformats.org/officeDocument/2006/relationships/hyperlink" Target="https://www.redbull.com/za-en/events/red-bull-box-cart-race-south-africa/red-bull-box-cart-rules" TargetMode="External"/><Relationship Id="rIdok4imoyzjc8ftxmnboidd" Type="http://schemas.openxmlformats.org/officeDocument/2006/relationships/hyperlink" Target="https://www.redbull.com/za-en/events/red-bull-box-cart-race-south-africa/red-bull-soapbox-application" TargetMode="External"/><Relationship Id="rId2e9_lryivfi49bgfgggnp" Type="http://schemas.openxmlformats.org/officeDocument/2006/relationships/hyperlink" Target="https://www.redbull.com/za-en/red-bull-box-cart-race-joburg-2026" TargetMode="External"/><Relationship Id="rIdm6avyjsd69rkhgfj18dh_" Type="http://schemas.openxmlformats.org/officeDocument/2006/relationships/hyperlink" Target="https://www.hypemagazine.co.za/2026/06/09/red-bull-box-cart-race-returns-to-sandton-in-2026/" TargetMode="External"/><Relationship Id="rIdondymo7yfv7pk3hhfuixl" Type="http://schemas.openxmlformats.org/officeDocument/2006/relationships/hyperlink" Target="https://www.redbull.com/us-en/events/soapbox-race-la-usa-2026/rules-sbr-la" TargetMode="External"/><Relationship Id="rIdg_zcbrreyi_5tal36ixbc" Type="http://schemas.openxmlformats.org/officeDocument/2006/relationships/hyperlink" Target="https://www.redbull.com/us-en/events/soapbox-race-2017-los-angeles/soapbox-race-2017-terms-conditions" TargetMode="External"/><Relationship Id="rIdi0kusbb6gl-bh0hesz7uh" Type="http://schemas.openxmlformats.org/officeDocument/2006/relationships/hyperlink" Target="https://www.redbull.com/gb-en/events/red-bull-soapbox-race-london-2026/red-bull-soapbox-race-rules-2025-11-10" TargetMode="External"/><Relationship Id="rIdku2foosieinve9f250lcq" Type="http://schemas.openxmlformats.org/officeDocument/2006/relationships/hyperlink" Target="https://www.en.wikipedia.org/wiki/Red_Bull_Soapbox_Race" TargetMode="External"/><Relationship Id="rIdpsts881m1qy6lqirgqlf2" Type="http://schemas.openxmlformats.org/officeDocument/2006/relationships/hyperlink" Target="https://www.en.wikipedia.org/wiki/Gravity_racer" TargetMode="External"/><Relationship Id="rId-ayizls0rzz31j38mukp0" Type="http://schemas.openxmlformats.org/officeDocument/2006/relationships/hyperlink" Target="https://www.scottishcarties.org.uk/news/8+Characteristics+of+the+Fastest+Soapbox+Racers" TargetMode="External"/><Relationship Id="rId33zfypfrmpxylpdyfcqk8" Type="http://schemas.openxmlformats.org/officeDocument/2006/relationships/hyperlink" Target="https://www.scottishcarties.org.uk/node/406" TargetMode="External"/><Relationship Id="rIdvglspwbr2ivzmchpegm1i" Type="http://schemas.openxmlformats.org/officeDocument/2006/relationships/hyperlink" Target="https://www.gravityracer.blogspot.com/2014/11/the-no-compromise-gravity-racer.html" TargetMode="External"/><Relationship Id="rIdzezcjdawcgdw-tgcrcu8d" Type="http://schemas.openxmlformats.org/officeDocument/2006/relationships/hyperlink" Target="https://www.stuff.tv/features/get-your-soapbox-how-build-gravity-racer/" TargetMode="External"/><Relationship Id="rIdhp-f8ghrlwi05mgraf_f9" Type="http://schemas.openxmlformats.org/officeDocument/2006/relationships/hyperlink" Target="https://www.makezine.com/projects/adult-soapbox-kart/" TargetMode="External"/><Relationship Id="rIdiobxyp-n3nem-nbxqkeq4" Type="http://schemas.openxmlformats.org/officeDocument/2006/relationships/hyperlink" Target="https://www.simscale.com/product/cfd/" TargetMode="External"/><Relationship Id="rIdal2zrkrgj23hwckah7btv" Type="http://schemas.openxmlformats.org/officeDocument/2006/relationships/hyperlink" Target="https://www.thecadhub.com/blog/top-10-cfd-software-tools/" TargetMode="External"/><Relationship Id="rIdnse-gmcbylpkd-l6q8_r7" Type="http://schemas.openxmlformats.org/officeDocument/2006/relationships/hyperlink" Target="https://www.autodesk.com/products/fusion-360/blog/topology-optimization-and-autodesk-fusion/" TargetMode="External"/><Relationship Id="rIdx3jmdeuvrf3-jgdi87nl-" Type="http://schemas.openxmlformats.org/officeDocument/2006/relationships/hyperlink" Target="https://www.autocadeverything.com/fusion-360-generative-design/" TargetMode="External"/><Relationship Id="rIdo2uttwnivg8kbcbzil3cg" Type="http://schemas.openxmlformats.org/officeDocument/2006/relationships/hyperlink" Target="https://www.getleo.ai/blog/best-generative-design-tools-fusion-360" TargetMode="External"/><Relationship Id="rIdy-hh30hxsnd-fqx6e8ftj" Type="http://schemas.openxmlformats.org/officeDocument/2006/relationships/hyperlink" Target="https://www.colabsoftware.com/guides/how-generative-design-works-a-guide-for-engineering-managers" TargetMode="External"/><Relationship Id="rIdlpc9lyrslntsstganvt1a" Type="http://schemas.openxmlformats.org/officeDocument/2006/relationships/hyperlink" Target="https://www.buco.co.za" TargetMode="External"/><Relationship Id="rId_1cewf88m5rp1ac3v688i" Type="http://schemas.openxmlformats.org/officeDocument/2006/relationships/hyperlink" Target="https://www.steelandpipes.co.za" TargetMode="External"/><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 Bull Box Cart Race Johannesburg 2026 — Team Build &amp; Sponsorship Handbook</dc:title>
  <dc:creator>Team handbook</dc:creator>
  <cp:lastModifiedBy>Un-named</cp:lastModifiedBy>
  <cp:revision>1</cp:revision>
  <dcterms:created xsi:type="dcterms:W3CDTF">2026-06-17T21:41:28.840Z</dcterms:created>
  <dcterms:modified xsi:type="dcterms:W3CDTF">2026-06-17T21:41:28.840Z</dcterms:modified>
</cp:coreProperties>
</file>

<file path=docProps/custom.xml><?xml version="1.0" encoding="utf-8"?>
<Properties xmlns="http://schemas.openxmlformats.org/officeDocument/2006/custom-properties" xmlns:vt="http://schemas.openxmlformats.org/officeDocument/2006/docPropsVTypes"/>
</file>