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FCD" w:rsidRDefault="00DA1FCD">
      <w:pPr>
        <w:pStyle w:val="Default"/>
        <w:spacing w:before="0" w:line="240" w:lineRule="auto"/>
        <w:rPr>
          <w:rFonts w:ascii="Avenir Next Regular" w:eastAsia="Avenir Next Regular" w:hAnsi="Avenir Next Regular" w:cs="Avenir Next Regular"/>
          <w:u w:val="single"/>
        </w:rPr>
      </w:pPr>
    </w:p>
    <w:p w:rsidR="00DA1FCD" w:rsidRDefault="005147AF">
      <w:pPr>
        <w:pStyle w:val="Default"/>
        <w:spacing w:before="0" w:line="240" w:lineRule="auto"/>
        <w:rPr>
          <w:rFonts w:ascii="Avenir Next Regular" w:eastAsia="Avenir Next Regular" w:hAnsi="Avenir Next Regular" w:cs="Avenir Next Regular"/>
        </w:rPr>
      </w:pPr>
      <w:r>
        <w:rPr>
          <w:rFonts w:ascii="Avenir Next Demi Bold" w:hAnsi="Avenir Next Demi Bold"/>
        </w:rPr>
        <w:t>New Precedent</w:t>
      </w:r>
      <w:r>
        <w:rPr>
          <w:rFonts w:ascii="Avenir Next Regular" w:hAnsi="Avenir Next Regular"/>
        </w:rPr>
        <w:t xml:space="preserve"> : Whether an appeal under Section 372 CrPC lies against acquittal in a private complaint under Section 138 NI Act, treating the complainant as a </w:t>
      </w:r>
      <w:r>
        <w:rPr>
          <w:rFonts w:ascii="Avenir Next Regular" w:hAnsi="Avenir Next Regular"/>
          <w:rtl/>
          <w:lang w:val="ar-SA"/>
        </w:rPr>
        <w:t>“</w:t>
      </w:r>
      <w:r>
        <w:rPr>
          <w:rFonts w:ascii="Avenir Next Regular" w:hAnsi="Avenir Next Regular"/>
          <w:lang w:val="fr-FR"/>
        </w:rPr>
        <w:t>victim</w:t>
      </w:r>
      <w:r>
        <w:rPr>
          <w:rFonts w:ascii="Avenir Next Regular" w:hAnsi="Avenir Next Regular"/>
        </w:rPr>
        <w:t xml:space="preserve">” </w:t>
      </w:r>
      <w:r>
        <w:rPr>
          <w:rFonts w:ascii="Avenir Next Regular" w:hAnsi="Avenir Next Regular"/>
        </w:rPr>
        <w:t>under Section 2(wa) CrPC. ?</w:t>
      </w:r>
    </w:p>
    <w:p w:rsidR="00DA1FCD" w:rsidRDefault="00DA1FCD">
      <w:pPr>
        <w:pStyle w:val="Default"/>
        <w:spacing w:before="0" w:line="240" w:lineRule="auto"/>
        <w:rPr>
          <w:rFonts w:ascii="Avenir Next Regular" w:eastAsia="Avenir Next Regular" w:hAnsi="Avenir Next Regular" w:cs="Avenir Next Regular"/>
        </w:rPr>
      </w:pPr>
    </w:p>
    <w:p w:rsidR="00DA1FCD" w:rsidRDefault="005147AF">
      <w:pPr>
        <w:pStyle w:val="Default"/>
        <w:spacing w:before="0" w:line="240" w:lineRule="auto"/>
        <w:rPr>
          <w:rFonts w:ascii="Avenir Next Regular" w:eastAsia="Avenir Next Regular" w:hAnsi="Avenir Next Regular" w:cs="Avenir Next Regular"/>
          <w:u w:val="single"/>
        </w:rPr>
      </w:pPr>
      <w:r>
        <w:rPr>
          <w:rFonts w:ascii="Avenir Next Medium" w:hAnsi="Avenir Next Medium"/>
        </w:rPr>
        <w:t>Cas</w:t>
      </w:r>
      <w:r>
        <w:rPr>
          <w:rFonts w:ascii="Avenir Next Medium" w:hAnsi="Avenir Next Medium"/>
        </w:rPr>
        <w:t>e in reference</w:t>
      </w:r>
      <w:r>
        <w:rPr>
          <w:rFonts w:ascii="Avenir Next Regular" w:hAnsi="Avenir Next Regular"/>
        </w:rPr>
        <w:t xml:space="preserve"> : </w:t>
      </w:r>
      <w:r>
        <w:rPr>
          <w:rFonts w:ascii="Avenir Next Regular" w:hAnsi="Avenir Next Regular"/>
          <w:i/>
          <w:iCs/>
          <w:u w:val="single"/>
          <w:lang w:val="pt-PT"/>
        </w:rPr>
        <w:t xml:space="preserve">M/s. </w:t>
      </w:r>
      <w:r>
        <w:rPr>
          <w:rFonts w:ascii="Avenir Next Regular" w:hAnsi="Avenir Next Regular"/>
          <w:i/>
          <w:iCs/>
          <w:u w:val="single"/>
        </w:rPr>
        <w:t>Celestium Financial v/s A. Gnanasekaran Etc.</w:t>
      </w:r>
      <w:r>
        <w:rPr>
          <w:rFonts w:ascii="Avenir Next Regular" w:hAnsi="Avenir Next Regular"/>
          <w:i/>
          <w:iCs/>
        </w:rPr>
        <w:t xml:space="preserve"> (April 2025)</w:t>
      </w:r>
    </w:p>
    <w:p w:rsidR="00DA1FCD" w:rsidRDefault="00DA1FCD">
      <w:pPr>
        <w:pStyle w:val="Default"/>
        <w:spacing w:before="0" w:line="240" w:lineRule="auto"/>
        <w:rPr>
          <w:rFonts w:ascii="Avenir Next Regular" w:eastAsia="Avenir Next Regular" w:hAnsi="Avenir Next Regular" w:cs="Avenir Next Regular"/>
        </w:rPr>
      </w:pPr>
    </w:p>
    <w:p w:rsidR="00DA1FCD" w:rsidRDefault="005147AF">
      <w:pPr>
        <w:pStyle w:val="Default"/>
        <w:spacing w:before="0" w:after="240" w:line="240" w:lineRule="auto"/>
        <w:rPr>
          <w:rFonts w:ascii="Avenir Next Regular" w:eastAsia="Avenir Next Regular" w:hAnsi="Avenir Next Regular" w:cs="Avenir Next Regular"/>
          <w:color w:val="00000A"/>
        </w:rPr>
      </w:pPr>
      <w:r>
        <w:rPr>
          <w:rFonts w:ascii="Avenir Next Regular" w:hAnsi="Avenir Next Regular"/>
          <w:color w:val="00000A"/>
          <w:u w:val="single"/>
        </w:rPr>
        <w:t>Case Proceedings</w:t>
      </w:r>
      <w:r>
        <w:rPr>
          <w:rFonts w:ascii="Avenir Next Regular" w:hAnsi="Avenir Next Regular"/>
          <w:color w:val="00000A"/>
        </w:rPr>
        <w:t xml:space="preserve"> :</w:t>
      </w:r>
    </w:p>
    <w:p w:rsidR="00DA1FCD" w:rsidRDefault="005147AF">
      <w:pPr>
        <w:pStyle w:val="Default"/>
        <w:spacing w:before="0" w:after="240" w:line="240" w:lineRule="auto"/>
        <w:rPr>
          <w:rFonts w:ascii="Avenir Next Regular" w:eastAsia="Avenir Next Regular" w:hAnsi="Avenir Next Regular" w:cs="Avenir Next Regular"/>
        </w:rPr>
      </w:pPr>
      <w:r>
        <w:rPr>
          <w:rFonts w:ascii="Avenir Next Medium" w:hAnsi="Avenir Next Medium"/>
        </w:rPr>
        <w:t>Magistrate</w:t>
      </w:r>
      <w:r>
        <w:rPr>
          <w:rFonts w:ascii="Avenir Next Medium" w:hAnsi="Avenir Next Medium"/>
          <w:rtl/>
        </w:rPr>
        <w:t>’</w:t>
      </w:r>
      <w:r>
        <w:rPr>
          <w:rFonts w:ascii="Avenir Next Medium" w:hAnsi="Avenir Next Medium"/>
          <w:lang w:val="it-IT"/>
        </w:rPr>
        <w:t>s Acquittal:</w:t>
      </w:r>
      <w:r>
        <w:rPr>
          <w:rFonts w:ascii="Avenir Next Regular" w:hAnsi="Avenir Next Regular"/>
        </w:rPr>
        <w:t xml:space="preserve"> The Accused were acquitted under Section 138 NI Act as the Complainant failed to prove a legally enforceable debt, and the statutory presumption under Section 139 was rebutted.</w:t>
      </w:r>
    </w:p>
    <w:p w:rsidR="00DA1FCD" w:rsidRDefault="005147AF">
      <w:pPr>
        <w:pStyle w:val="Default"/>
        <w:spacing w:before="0" w:after="240" w:line="240" w:lineRule="auto"/>
        <w:rPr>
          <w:rFonts w:ascii="Avenir Next Regular" w:eastAsia="Avenir Next Regular" w:hAnsi="Avenir Next Regular" w:cs="Avenir Next Regular"/>
        </w:rPr>
      </w:pPr>
      <w:r>
        <w:rPr>
          <w:rFonts w:ascii="Avenir Next Medium" w:hAnsi="Avenir Next Medium"/>
        </w:rPr>
        <w:t>Appeals to High Court</w:t>
      </w:r>
      <w:r>
        <w:rPr>
          <w:rFonts w:ascii="Avenir Next Medium" w:hAnsi="Avenir Next Medium"/>
        </w:rPr>
        <w:t>:</w:t>
      </w:r>
      <w:r>
        <w:rPr>
          <w:rFonts w:ascii="Avenir Next Regular" w:hAnsi="Avenir Next Regular"/>
        </w:rPr>
        <w:t xml:space="preserve"> As the procedural law that prevailed until the ruling i</w:t>
      </w:r>
      <w:r>
        <w:rPr>
          <w:rFonts w:ascii="Avenir Next Regular" w:hAnsi="Avenir Next Regular"/>
        </w:rPr>
        <w:t>n this judgment, the Complainant filed an Appeal under Section 378(4) CrPC seeking S</w:t>
      </w:r>
      <w:r>
        <w:rPr>
          <w:rFonts w:ascii="Avenir Next Regular" w:hAnsi="Avenir Next Regular"/>
        </w:rPr>
        <w:t xml:space="preserve">pecial </w:t>
      </w:r>
      <w:r>
        <w:rPr>
          <w:rFonts w:ascii="Avenir Next Regular" w:hAnsi="Avenir Next Regular"/>
        </w:rPr>
        <w:t>Leave to appeal against the acquittal judgments.</w:t>
      </w:r>
    </w:p>
    <w:p w:rsidR="00DA1FCD" w:rsidRDefault="005147AF">
      <w:pPr>
        <w:pStyle w:val="Default"/>
        <w:spacing w:before="0" w:after="240" w:line="240" w:lineRule="auto"/>
        <w:rPr>
          <w:rFonts w:ascii="Avenir Next Regular" w:eastAsia="Avenir Next Regular" w:hAnsi="Avenir Next Regular" w:cs="Avenir Next Regular"/>
        </w:rPr>
      </w:pPr>
      <w:r>
        <w:rPr>
          <w:rFonts w:ascii="Avenir Next Medium" w:hAnsi="Avenir Next Medium"/>
        </w:rPr>
        <w:t>High Court</w:t>
      </w:r>
      <w:r>
        <w:rPr>
          <w:rFonts w:ascii="Avenir Next Medium" w:hAnsi="Avenir Next Medium"/>
          <w:rtl/>
        </w:rPr>
        <w:t>’</w:t>
      </w:r>
      <w:r>
        <w:rPr>
          <w:rFonts w:ascii="Avenir Next Medium" w:hAnsi="Avenir Next Medium"/>
        </w:rPr>
        <w:t>s Dismissal:</w:t>
      </w:r>
      <w:r>
        <w:rPr>
          <w:rFonts w:ascii="Avenir Next Regular" w:hAnsi="Avenir Next Regular"/>
        </w:rPr>
        <w:t xml:space="preserve"> The High Court refused leave, holding that the grant of leave under Section 378(4) of the Cr</w:t>
      </w:r>
      <w:r>
        <w:rPr>
          <w:rFonts w:ascii="Avenir Next Regular" w:hAnsi="Avenir Next Regular"/>
        </w:rPr>
        <w:t>PC is not a mere formality, but a substantive safeguard designed to protect the rights of persons who, having been acquitted of criminal charges, ought not to be subjected to further protracted litigation. It was further held that the grant of leave is con</w:t>
      </w:r>
      <w:r>
        <w:rPr>
          <w:rFonts w:ascii="Avenir Next Regular" w:hAnsi="Avenir Next Regular"/>
        </w:rPr>
        <w:t>tingent upon the petitioner before the Appellate Court, establishing a prima facie case that warrants interference.</w:t>
      </w:r>
    </w:p>
    <w:p w:rsidR="00DA1FCD" w:rsidRDefault="005147AF">
      <w:pPr>
        <w:pStyle w:val="Default"/>
        <w:spacing w:before="0" w:after="240" w:line="240" w:lineRule="auto"/>
        <w:rPr>
          <w:rFonts w:ascii="Avenir Next Regular" w:eastAsia="Avenir Next Regular" w:hAnsi="Avenir Next Regular" w:cs="Avenir Next Regular"/>
        </w:rPr>
      </w:pPr>
      <w:r>
        <w:rPr>
          <w:rFonts w:ascii="Avenir Next Regular" w:hAnsi="Avenir Next Regular"/>
          <w:u w:val="single"/>
        </w:rPr>
        <w:t>Supreme Court</w:t>
      </w:r>
      <w:r>
        <w:rPr>
          <w:rFonts w:ascii="Avenir Next Regular" w:hAnsi="Avenir Next Regular"/>
          <w:u w:val="single"/>
        </w:rPr>
        <w:t>’</w:t>
      </w:r>
      <w:r>
        <w:rPr>
          <w:rFonts w:ascii="Avenir Next Regular" w:hAnsi="Avenir Next Regular"/>
          <w:u w:val="single"/>
        </w:rPr>
        <w:t>s approach</w:t>
      </w:r>
      <w:r>
        <w:rPr>
          <w:rFonts w:ascii="Avenir Next Regular" w:hAnsi="Avenir Next Regular"/>
        </w:rPr>
        <w:t xml:space="preserve"> :</w:t>
      </w:r>
    </w:p>
    <w:p w:rsidR="00DA1FCD" w:rsidRDefault="005147AF">
      <w:pPr>
        <w:pStyle w:val="Default"/>
        <w:numPr>
          <w:ilvl w:val="0"/>
          <w:numId w:val="2"/>
        </w:numPr>
        <w:spacing w:before="0" w:after="240" w:line="240" w:lineRule="auto"/>
        <w:rPr>
          <w:rFonts w:ascii="Avenir Next Regular" w:hAnsi="Avenir Next Regular"/>
        </w:rPr>
      </w:pPr>
      <w:r>
        <w:rPr>
          <w:rFonts w:ascii="Avenir Next Regular" w:hAnsi="Avenir Next Regular"/>
        </w:rPr>
        <w:t xml:space="preserve">The Supreme Court first discusses its own judgment in In </w:t>
      </w:r>
      <w:r>
        <w:rPr>
          <w:rFonts w:ascii="Avenir Next Medium" w:hAnsi="Avenir Next Medium"/>
          <w:i/>
          <w:iCs/>
        </w:rPr>
        <w:t>Mallikarjun Kodagali (dead) represented through Legal re</w:t>
      </w:r>
      <w:r>
        <w:rPr>
          <w:rFonts w:ascii="Avenir Next Medium" w:hAnsi="Avenir Next Medium"/>
          <w:i/>
          <w:iCs/>
        </w:rPr>
        <w:t>presentative vs. State of Karnataka, (2019) 2 SCC 752 (</w:t>
      </w:r>
      <w:r>
        <w:rPr>
          <w:rFonts w:ascii="Avenir Next Medium" w:hAnsi="Avenir Next Medium"/>
          <w:i/>
          <w:iCs/>
          <w:rtl/>
          <w:lang w:val="ar-SA"/>
        </w:rPr>
        <w:t>“</w:t>
      </w:r>
      <w:r>
        <w:rPr>
          <w:rFonts w:ascii="Avenir Next Medium" w:hAnsi="Avenir Next Medium"/>
          <w:i/>
          <w:iCs/>
        </w:rPr>
        <w:t>Mallikarjun Kodagali</w:t>
      </w:r>
      <w:r>
        <w:rPr>
          <w:rFonts w:ascii="Avenir Next Medium" w:hAnsi="Avenir Next Medium"/>
          <w:i/>
          <w:iCs/>
        </w:rPr>
        <w:t>”</w:t>
      </w:r>
      <w:r>
        <w:rPr>
          <w:rFonts w:ascii="Avenir Next Medium" w:hAnsi="Avenir Next Medium"/>
          <w:i/>
          <w:iCs/>
        </w:rPr>
        <w:t xml:space="preserve">), </w:t>
      </w:r>
      <w:r>
        <w:rPr>
          <w:rFonts w:ascii="Avenir Next Regular" w:hAnsi="Avenir Next Regular"/>
        </w:rPr>
        <w:t xml:space="preserve">which dealt with the rights of victims of crime and the remedies available to them. </w:t>
      </w:r>
    </w:p>
    <w:p w:rsidR="00DA1FCD" w:rsidRDefault="005147AF">
      <w:pPr>
        <w:pStyle w:val="Default"/>
        <w:spacing w:before="0" w:after="240" w:line="240" w:lineRule="auto"/>
        <w:ind w:left="1134"/>
        <w:jc w:val="both"/>
        <w:rPr>
          <w:rFonts w:ascii="Avenir Next Regular" w:eastAsia="Avenir Next Regular" w:hAnsi="Avenir Next Regular" w:cs="Avenir Next Regular"/>
        </w:rPr>
      </w:pPr>
      <w:r>
        <w:rPr>
          <w:rFonts w:ascii="Avenir Next Demi Bold" w:hAnsi="Avenir Next Demi Bold"/>
          <w:i/>
          <w:iCs/>
        </w:rPr>
        <w:t>Please Note</w:t>
      </w:r>
      <w:r>
        <w:rPr>
          <w:rFonts w:ascii="Avenir Next Regular" w:hAnsi="Avenir Next Regular"/>
        </w:rPr>
        <w:t xml:space="preserve"> - </w:t>
      </w:r>
      <w:r>
        <w:rPr>
          <w:rFonts w:ascii="Avenir Next Regular" w:hAnsi="Avenir Next Regular"/>
          <w:i/>
          <w:iCs/>
        </w:rPr>
        <w:t>Mallikarjun Kodagali</w:t>
      </w:r>
      <w:r>
        <w:rPr>
          <w:rFonts w:ascii="Avenir Next Regular" w:hAnsi="Avenir Next Regular"/>
        </w:rPr>
        <w:t xml:space="preserve"> was a judgment on reference to a larger bench [3JB] and it returned with a divergent views, with J.Deepak Gupta disagreeing with the majority view, authored by J.Madan B Lokur.</w:t>
      </w:r>
    </w:p>
    <w:p w:rsidR="00DA1FCD" w:rsidRDefault="005147AF">
      <w:pPr>
        <w:pStyle w:val="Default"/>
        <w:numPr>
          <w:ilvl w:val="0"/>
          <w:numId w:val="2"/>
        </w:numPr>
        <w:spacing w:before="0" w:after="240" w:line="240" w:lineRule="auto"/>
        <w:rPr>
          <w:rFonts w:ascii="Avenir Next Regular" w:hAnsi="Avenir Next Regular"/>
        </w:rPr>
      </w:pPr>
      <w:r>
        <w:rPr>
          <w:rFonts w:ascii="Avenir Next Regular" w:hAnsi="Avenir Next Regular"/>
        </w:rPr>
        <w:t>It then refers to decisions of the Full Benches of the High Courts in the matt</w:t>
      </w:r>
      <w:r>
        <w:rPr>
          <w:rFonts w:ascii="Avenir Next Regular" w:hAnsi="Avenir Next Regular"/>
        </w:rPr>
        <w:t xml:space="preserve">er of interpretation of the proviso to Section 372 of the CrPC as highlighted in the case of </w:t>
      </w:r>
      <w:r>
        <w:rPr>
          <w:rFonts w:ascii="Avenir Next Regular" w:hAnsi="Avenir Next Regular"/>
          <w:i/>
          <w:iCs/>
        </w:rPr>
        <w:t>Mallikarjun Kodagali</w:t>
      </w:r>
      <w:r>
        <w:rPr>
          <w:rFonts w:ascii="Avenir Next Regular" w:hAnsi="Avenir Next Regular"/>
        </w:rPr>
        <w:t>andalso Division Bench decisions of various High Courts taking different views.</w:t>
      </w:r>
    </w:p>
    <w:p w:rsidR="00DA1FCD" w:rsidRDefault="005147AF">
      <w:pPr>
        <w:pStyle w:val="Default"/>
        <w:numPr>
          <w:ilvl w:val="0"/>
          <w:numId w:val="2"/>
        </w:numPr>
        <w:spacing w:before="0" w:after="240" w:line="240" w:lineRule="auto"/>
        <w:rPr>
          <w:rFonts w:ascii="Avenir Next Regular" w:hAnsi="Avenir Next Regular"/>
        </w:rPr>
      </w:pPr>
      <w:r>
        <w:rPr>
          <w:rFonts w:ascii="Avenir Next Regular" w:hAnsi="Avenir Next Regular"/>
        </w:rPr>
        <w:t>The Court discusses views and reasons, both of the majority - b</w:t>
      </w:r>
      <w:r>
        <w:rPr>
          <w:rFonts w:ascii="Avenir Next Regular" w:hAnsi="Avenir Next Regular"/>
        </w:rPr>
        <w:t>y J. Madan B Lokur and also the disagreement of J. Deepak Gupta, in detail. It observes that, while Deepak Gupta, J. was in complete agreement with Lokur, J. on the fact that victims must be permitted to access justice because it is sometimes found that th</w:t>
      </w:r>
      <w:r>
        <w:rPr>
          <w:rFonts w:ascii="Avenir Next Regular" w:hAnsi="Avenir Next Regular"/>
        </w:rPr>
        <w:t>e investigating and prosecuting agency do not follow up cases with zeal which is required and therefore proviso to Section 372 of the CrPC must be given a meaning which is realistic, liberal, progressive and beneficial to the victim of the offences, howeve</w:t>
      </w:r>
      <w:r>
        <w:rPr>
          <w:rFonts w:ascii="Avenir Next Regular" w:hAnsi="Avenir Next Regular"/>
        </w:rPr>
        <w:t>r, Deepak Gupta, J. was of the opinion that one cannot ignore the rights of the accused and the procedure prescribed by law. Hence, he disagreed with Lokur J.</w:t>
      </w:r>
      <w:r>
        <w:rPr>
          <w:rFonts w:ascii="Avenir Next Regular" w:hAnsi="Avenir Next Regular"/>
          <w:rtl/>
        </w:rPr>
        <w:t>’</w:t>
      </w:r>
      <w:r>
        <w:rPr>
          <w:rFonts w:ascii="Avenir Next Regular" w:hAnsi="Avenir Next Regular"/>
        </w:rPr>
        <w:t>s view that a victim can file an appeal in the High Court without seeking leave to appeal in term</w:t>
      </w:r>
      <w:r>
        <w:rPr>
          <w:rFonts w:ascii="Avenir Next Regular" w:hAnsi="Avenir Next Regular"/>
        </w:rPr>
        <w:t>s of Section 378(3) of the CrPC.</w:t>
      </w:r>
    </w:p>
    <w:p w:rsidR="00DA1FCD" w:rsidRDefault="005147AF">
      <w:pPr>
        <w:pStyle w:val="Default"/>
        <w:numPr>
          <w:ilvl w:val="0"/>
          <w:numId w:val="2"/>
        </w:numPr>
        <w:spacing w:before="0" w:after="240" w:line="240" w:lineRule="auto"/>
        <w:rPr>
          <w:rFonts w:ascii="Avenir Next Regular" w:hAnsi="Avenir Next Regular"/>
        </w:rPr>
      </w:pPr>
      <w:r>
        <w:rPr>
          <w:rFonts w:ascii="Avenir Next Regular" w:hAnsi="Avenir Next Regular"/>
        </w:rPr>
        <w:t>The Court after analysing several relevant provisions of CrPC, has observed :</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 xml:space="preserve">The expression </w:t>
      </w:r>
      <w:r>
        <w:rPr>
          <w:rFonts w:ascii="Avenir Next Regular" w:hAnsi="Avenir Next Regular"/>
          <w:rtl/>
        </w:rPr>
        <w:t>‘</w:t>
      </w:r>
      <w:r>
        <w:rPr>
          <w:rFonts w:ascii="Avenir Next Regular" w:hAnsi="Avenir Next Regular"/>
          <w:lang w:val="fr-FR"/>
        </w:rPr>
        <w:t>victim</w:t>
      </w:r>
      <w:r>
        <w:rPr>
          <w:rFonts w:ascii="Avenir Next Regular" w:hAnsi="Avenir Next Regular"/>
          <w:rtl/>
        </w:rPr>
        <w:t xml:space="preserve">’ </w:t>
      </w:r>
      <w:r>
        <w:rPr>
          <w:rFonts w:ascii="Avenir Next Regular" w:hAnsi="Avenir Next Regular"/>
        </w:rPr>
        <w:t>as defined under Section 2(wa) Cr.P.C. includes not only the person who has suffered any loss or injury caused by the rea</w:t>
      </w:r>
      <w:r>
        <w:rPr>
          <w:rFonts w:ascii="Avenir Next Regular" w:hAnsi="Avenir Next Regular"/>
        </w:rPr>
        <w:t xml:space="preserve">son of the act or omission for which </w:t>
      </w:r>
      <w:r>
        <w:rPr>
          <w:rFonts w:ascii="Avenir Next Regular" w:hAnsi="Avenir Next Regular"/>
        </w:rPr>
        <w:lastRenderedPageBreak/>
        <w:t>the accused person has been charged but the said expression also includes his or her guardian or legal heir.</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In the context of offences under the Act, particularly under Section 138 of the said Act, the complainant is c</w:t>
      </w:r>
      <w:r>
        <w:rPr>
          <w:rFonts w:ascii="Avenir Next Regular" w:hAnsi="Avenir Next Regular"/>
        </w:rPr>
        <w:t>learly the aggrieved party who has suffered economic loss and injury due to the default in payment by the accused owing to the dishonour of the cheque which is deemed to be an offence under that provision.</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In such circumstances, it would be just, reasonabl</w:t>
      </w:r>
      <w:r>
        <w:rPr>
          <w:rFonts w:ascii="Avenir Next Regular" w:hAnsi="Avenir Next Regular"/>
        </w:rPr>
        <w:t>e and in consonance with the spirit of the CrPC to hold that the complainant under the Act also qualifies as a victim within the meaning of Section 2(wa) of the CrPC. Consequently, such a complainant ought to be extended the benefit of the proviso to Secti</w:t>
      </w:r>
      <w:r>
        <w:rPr>
          <w:rFonts w:ascii="Avenir Next Regular" w:hAnsi="Avenir Next Regular"/>
        </w:rPr>
        <w:t>on 372, thereby enabling him to maintain an appeal against an order of acquittal in his own right without having to seek special leave under Section 378(4) of the CrPC.</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 xml:space="preserve">In the circumstances, the complainant </w:t>
      </w:r>
      <w:r>
        <w:rPr>
          <w:rFonts w:ascii="Avenir Next Regular" w:hAnsi="Avenir Next Regular"/>
          <w:u w:val="single"/>
        </w:rPr>
        <w:t>can proceed</w:t>
      </w:r>
      <w:r>
        <w:rPr>
          <w:rFonts w:ascii="Avenir Next Regular" w:hAnsi="Avenir Next Regular"/>
        </w:rPr>
        <w:t xml:space="preserve"> as per the proviso to Section 372 of </w:t>
      </w:r>
      <w:r>
        <w:rPr>
          <w:rFonts w:ascii="Avenir Next Regular" w:hAnsi="Avenir Next Regular"/>
        </w:rPr>
        <w:t xml:space="preserve">the CrPC and he </w:t>
      </w:r>
      <w:r>
        <w:rPr>
          <w:rFonts w:ascii="Avenir Next Regular" w:hAnsi="Avenir Next Regular"/>
          <w:u w:val="single"/>
        </w:rPr>
        <w:t>may</w:t>
      </w:r>
      <w:r>
        <w:rPr>
          <w:rFonts w:ascii="Avenir Next Regular" w:hAnsi="Avenir Next Regular"/>
        </w:rPr>
        <w:t xml:space="preserve"> exercise such an option and he </w:t>
      </w:r>
      <w:r>
        <w:rPr>
          <w:rFonts w:ascii="Avenir Next Regular" w:hAnsi="Avenir Next Regular"/>
          <w:u w:val="single"/>
        </w:rPr>
        <w:t>need not</w:t>
      </w:r>
      <w:r>
        <w:rPr>
          <w:rFonts w:ascii="Avenir Next Regular" w:hAnsi="Avenir Next Regular"/>
        </w:rPr>
        <w:t xml:space="preserve"> then elect to proceed under Section 378 of the CrPC. </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 xml:space="preserve">In this context, we wish to state that the proviso to Section 372 does not make a distinction between an accused who is charged of an offence </w:t>
      </w:r>
      <w:r>
        <w:rPr>
          <w:rFonts w:ascii="Avenir Next Regular" w:hAnsi="Avenir Next Regular"/>
        </w:rPr>
        <w:t>under the penal law or a person who is deemed to have committed an offence under Section 138 of the Act. Symmetrical to a victim of an offence, a victim of a deemed offenceunder Section 138 of the Act also has the right to prefer an appeal against any orde</w:t>
      </w:r>
      <w:r>
        <w:rPr>
          <w:rFonts w:ascii="Avenir Next Regular" w:hAnsi="Avenir Next Regular"/>
        </w:rPr>
        <w:t>r passed by the court acquitting the accused or convicting for a lesser offence or imposing an inadequate compensation.</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The complainant under Section 138 is the victim who must also have the right to prefer an appeal under the said provision.</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Merely becaus</w:t>
      </w:r>
      <w:r>
        <w:rPr>
          <w:rFonts w:ascii="Avenir Next Regular" w:hAnsi="Avenir Next Regular"/>
        </w:rPr>
        <w:t>e the proceeding under Section 138 of the Act commences with the filing of a complaint under Section 200 of the CrPC by a complainant, he does not cease to be a victim inasmuch as it is only a victim of a dishonour of cheque who can file a complaint. Thus,</w:t>
      </w:r>
      <w:r>
        <w:rPr>
          <w:rFonts w:ascii="Avenir Next Regular" w:hAnsi="Avenir Next Regular"/>
        </w:rPr>
        <w:t xml:space="preserve"> under Section 138 of the Act both the complainant as well as the victim are one and the same person.</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A reading of section 378 would clearly indicate that in case the complainant intends to file an appeal against the order of acquittal, his right is circumscribed by certain conditions precedent. When an appeal is to be preferred by a complainant, the first</w:t>
      </w:r>
      <w:r>
        <w:rPr>
          <w:rFonts w:ascii="Avenir Next Regular" w:hAnsi="Avenir Next Regular"/>
        </w:rPr>
        <w:t xml:space="preserve"> question is, whether, the complainant is also the victim or only an informant. </w:t>
      </w:r>
      <w:r>
        <w:rPr>
          <w:rFonts w:ascii="Avenir Next Regular" w:hAnsi="Avenir Next Regular"/>
          <w:u w:val="single"/>
        </w:rPr>
        <w:t>If the complainant is not a victim</w:t>
      </w:r>
      <w:r>
        <w:rPr>
          <w:rFonts w:ascii="Avenir Next Regular" w:hAnsi="Avenir Next Regular"/>
        </w:rPr>
        <w:t xml:space="preserve"> and the case is instituted upon a </w:t>
      </w:r>
      <w:r>
        <w:rPr>
          <w:rFonts w:ascii="Avenir Next Regular" w:hAnsi="Avenir Next Regular"/>
          <w:u w:val="single"/>
        </w:rPr>
        <w:t>complaint</w:t>
      </w:r>
      <w:r>
        <w:rPr>
          <w:rFonts w:ascii="Avenir Next Regular" w:hAnsi="Avenir Next Regular"/>
        </w:rPr>
        <w:t>, then sub-section (4) requires that the complainant must seek special leave to appeal from an ord</w:t>
      </w:r>
      <w:r>
        <w:rPr>
          <w:rFonts w:ascii="Avenir Next Regular" w:hAnsi="Avenir Next Regular"/>
        </w:rPr>
        <w:t>er of acquittal from the High Court.</w:t>
      </w:r>
    </w:p>
    <w:p w:rsidR="00DA1FCD" w:rsidRDefault="005147AF">
      <w:pPr>
        <w:pStyle w:val="Default"/>
        <w:numPr>
          <w:ilvl w:val="1"/>
          <w:numId w:val="2"/>
        </w:numPr>
        <w:spacing w:before="0" w:after="240" w:line="240" w:lineRule="auto"/>
        <w:rPr>
          <w:rFonts w:ascii="Avenir Next Regular" w:hAnsi="Avenir Next Regular"/>
        </w:rPr>
      </w:pPr>
      <w:r>
        <w:rPr>
          <w:rFonts w:ascii="Avenir Next Regular" w:hAnsi="Avenir Next Regular"/>
        </w:rPr>
        <w:t xml:space="preserve">As noted under sub-section (6), if the application under sub-section (4) for grant of special leave to appeal from the order of acquittal is refused, no appeal from that order of acquittal would lie, </w:t>
      </w:r>
      <w:r>
        <w:rPr>
          <w:rFonts w:ascii="Avenir Next Regular" w:hAnsi="Avenir Next Regular"/>
          <w:i/>
          <w:iCs/>
          <w:lang w:val="it-IT"/>
        </w:rPr>
        <w:t xml:space="preserve">inter alia, </w:t>
      </w:r>
      <w:r>
        <w:rPr>
          <w:rFonts w:ascii="Avenir Next Regular" w:hAnsi="Avenir Next Regular"/>
        </w:rPr>
        <w:t>under s</w:t>
      </w:r>
      <w:r>
        <w:rPr>
          <w:rFonts w:ascii="Avenir Next Regular" w:hAnsi="Avenir Next Regular"/>
        </w:rPr>
        <w:t xml:space="preserve">ub-section (1) of Section 378. However, </w:t>
      </w:r>
      <w:r>
        <w:rPr>
          <w:rFonts w:ascii="Avenir Next Regular" w:hAnsi="Avenir Next Regular"/>
          <w:u w:val="single"/>
        </w:rPr>
        <w:t>if the complainant is also a victim, he could proceed under the proviso to Section 372, in which case the rigour of sub-section (4) of Section 378, which mandates obtaining special leave to appeal, would not arise at</w:t>
      </w:r>
      <w:r>
        <w:rPr>
          <w:rFonts w:ascii="Avenir Next Regular" w:hAnsi="Avenir Next Regular"/>
          <w:u w:val="single"/>
        </w:rPr>
        <w:t xml:space="preserve"> all</w:t>
      </w:r>
      <w:r>
        <w:rPr>
          <w:rFonts w:ascii="Avenir Next Regular" w:hAnsi="Avenir Next Regular"/>
        </w:rPr>
        <w:t xml:space="preserve">, as he can prefer an appeal as a victim and as a matter of right. </w:t>
      </w:r>
      <w:r>
        <w:rPr>
          <w:rFonts w:ascii="Avenir Next Regular" w:hAnsi="Avenir Next Regular"/>
          <w:u w:val="single"/>
        </w:rPr>
        <w:t>Thus, if a victim who is a complainant, proceeds under Section 378, the necessity of seeking special leave to appeal would arise but if a victim whether he is a complainant or not, file</w:t>
      </w:r>
      <w:r>
        <w:rPr>
          <w:rFonts w:ascii="Avenir Next Regular" w:hAnsi="Avenir Next Regular"/>
          <w:u w:val="single"/>
        </w:rPr>
        <w:t>s an appeal in terms of proviso to Section 372, then the mandate of seeking special leave to appeal would not arise</w:t>
      </w:r>
      <w:r>
        <w:rPr>
          <w:rFonts w:ascii="Avenir Next Regular" w:hAnsi="Avenir Next Regular"/>
        </w:rPr>
        <w:t>.</w:t>
      </w:r>
    </w:p>
    <w:p w:rsidR="00DA1FCD" w:rsidRDefault="005147AF">
      <w:pPr>
        <w:pStyle w:val="Default"/>
        <w:spacing w:before="0" w:after="240" w:line="240" w:lineRule="auto"/>
        <w:rPr>
          <w:rFonts w:ascii="Avenir Next Regular" w:eastAsia="Avenir Next Regular" w:hAnsi="Avenir Next Regular" w:cs="Avenir Next Regular"/>
        </w:rPr>
      </w:pPr>
      <w:r>
        <w:rPr>
          <w:rFonts w:ascii="Avenir Next Regular" w:eastAsia="Avenir Next Regular" w:hAnsi="Avenir Next Regular" w:cs="Avenir Next Regular"/>
        </w:rPr>
        <w:lastRenderedPageBreak/>
        <w:tab/>
      </w:r>
    </w:p>
    <w:p w:rsidR="00DA1FCD" w:rsidRDefault="005147AF">
      <w:pPr>
        <w:pStyle w:val="Default"/>
        <w:spacing w:before="0" w:after="240" w:line="240" w:lineRule="auto"/>
        <w:ind w:left="567"/>
        <w:rPr>
          <w:rFonts w:ascii="Avenir Next Regular" w:eastAsia="Avenir Next Regular" w:hAnsi="Avenir Next Regular" w:cs="Avenir Next Regular"/>
        </w:rPr>
      </w:pPr>
      <w:r>
        <w:rPr>
          <w:rFonts w:ascii="Avenir Next Regular" w:hAnsi="Avenir Next Regular"/>
        </w:rPr>
        <w:t>IN CONCLUSION, COURT HOLDS - In the circumstances, we find that Section 138 of the Act being in the nature of a penal provision by a deem</w:t>
      </w:r>
      <w:r>
        <w:rPr>
          <w:rFonts w:ascii="Avenir Next Regular" w:hAnsi="Avenir Next Regular"/>
        </w:rPr>
        <w:t xml:space="preserve">ing fiction against an accused who is said to have committed an offence under the said provision, </w:t>
      </w:r>
      <w:r>
        <w:rPr>
          <w:rFonts w:ascii="Avenir Next Regular" w:hAnsi="Avenir Next Regular"/>
          <w:u w:val="single"/>
          <w:lang w:val="it-IT"/>
        </w:rPr>
        <w:t>if acquitted,</w:t>
      </w:r>
      <w:r>
        <w:rPr>
          <w:rFonts w:ascii="Avenir Next Regular" w:hAnsi="Avenir Next Regular"/>
          <w:b/>
          <w:bCs/>
          <w:u w:val="single"/>
        </w:rPr>
        <w:t>can be proceeded against</w:t>
      </w:r>
      <w:r>
        <w:rPr>
          <w:rFonts w:ascii="Avenir Next Regular" w:hAnsi="Avenir Next Regular"/>
          <w:u w:val="single"/>
        </w:rPr>
        <w:t xml:space="preserve"> by a </w:t>
      </w:r>
      <w:r>
        <w:rPr>
          <w:rFonts w:ascii="Avenir Next Regular" w:hAnsi="Avenir Next Regular"/>
          <w:b/>
          <w:bCs/>
          <w:u w:val="single"/>
          <w:lang w:val="fr-FR"/>
        </w:rPr>
        <w:t>victim</w:t>
      </w:r>
      <w:r>
        <w:rPr>
          <w:rFonts w:ascii="Avenir Next Regular" w:hAnsi="Avenir Next Regular"/>
        </w:rPr>
        <w:t xml:space="preserve"> of the said offence, namely, the person who is entitled to the proceeds of a cheque which has been dishonour</w:t>
      </w:r>
      <w:r>
        <w:rPr>
          <w:rFonts w:ascii="Avenir Next Regular" w:hAnsi="Avenir Next Regular"/>
        </w:rPr>
        <w:t xml:space="preserve">ed, </w:t>
      </w:r>
      <w:r>
        <w:rPr>
          <w:rFonts w:ascii="Avenir Next Regular" w:hAnsi="Avenir Next Regular"/>
          <w:u w:val="single"/>
        </w:rPr>
        <w:t>in terms of the proviso to Section 372 of the CrPC, as a victim</w:t>
      </w:r>
      <w:r>
        <w:rPr>
          <w:rFonts w:ascii="Avenir Next Regular" w:hAnsi="Avenir Next Regular"/>
        </w:rPr>
        <w:t xml:space="preserve">. As already noted, a victim of an offence could also be a complainant. In such a case, </w:t>
      </w:r>
      <w:r>
        <w:rPr>
          <w:rFonts w:ascii="Avenir Next Regular" w:hAnsi="Avenir Next Regular"/>
          <w:u w:val="single"/>
        </w:rPr>
        <w:t xml:space="preserve">an appeal </w:t>
      </w:r>
      <w:r>
        <w:rPr>
          <w:rFonts w:ascii="Avenir Next Regular" w:hAnsi="Avenir Next Regular"/>
          <w:b/>
          <w:bCs/>
          <w:u w:val="single"/>
        </w:rPr>
        <w:t>can be preferred</w:t>
      </w:r>
      <w:r>
        <w:rPr>
          <w:rFonts w:ascii="Avenir Next Regular" w:hAnsi="Avenir Next Regular"/>
          <w:u w:val="single"/>
        </w:rPr>
        <w:t xml:space="preserve"> either under the proviso to Section 372 or under Section 378 by such a vic</w:t>
      </w:r>
      <w:r>
        <w:rPr>
          <w:rFonts w:ascii="Avenir Next Regular" w:hAnsi="Avenir Next Regular"/>
          <w:u w:val="single"/>
        </w:rPr>
        <w:t>tim</w:t>
      </w:r>
      <w:r>
        <w:rPr>
          <w:rFonts w:ascii="Avenir Next Regular" w:hAnsi="Avenir Next Regular"/>
        </w:rPr>
        <w:t xml:space="preserve">. </w:t>
      </w:r>
    </w:p>
    <w:p w:rsidR="00DA1FCD" w:rsidRDefault="005147AF">
      <w:pPr>
        <w:pStyle w:val="Default"/>
        <w:spacing w:before="0" w:after="240" w:line="240" w:lineRule="auto"/>
        <w:ind w:left="567"/>
        <w:rPr>
          <w:rFonts w:ascii="Avenir Next Regular" w:eastAsia="Avenir Next Regular" w:hAnsi="Avenir Next Regular" w:cs="Avenir Next Regular"/>
        </w:rPr>
      </w:pPr>
      <w:r>
        <w:rPr>
          <w:rFonts w:ascii="Avenir Next Regular" w:hAnsi="Avenir Next Regular"/>
        </w:rPr>
        <w:t>In the absence of the proviso to Section 372, a victim of an offence could not have filed an appeal as such, unless he was also a complainant, in which event he could maintain an appeal if special leave to appeal had been granted by the High Court an</w:t>
      </w:r>
      <w:r>
        <w:rPr>
          <w:rFonts w:ascii="Avenir Next Regular" w:hAnsi="Avenir Next Regular"/>
        </w:rPr>
        <w:t xml:space="preserve">d if no such special leave was granted then his appeal would not be maintainable at all. On the other hand, if the victim of an offence, who may or may not be the complainant, proceeds under the proviso to Section 372 of the CrPC, then in our view, such a </w:t>
      </w:r>
      <w:r>
        <w:rPr>
          <w:rFonts w:ascii="Avenir Next Regular" w:hAnsi="Avenir Next Regular"/>
        </w:rPr>
        <w:t xml:space="preserve">victim need not seek special leave to appeal from the High Court. In other words, the victim of an offence would have the right to prefer an appeal, </w:t>
      </w:r>
      <w:r>
        <w:rPr>
          <w:rFonts w:ascii="Avenir Next Regular" w:hAnsi="Avenir Next Regular"/>
          <w:i/>
          <w:iCs/>
          <w:lang w:val="it-IT"/>
        </w:rPr>
        <w:t xml:space="preserve">inter alia, </w:t>
      </w:r>
      <w:r>
        <w:rPr>
          <w:rFonts w:ascii="Avenir Next Regular" w:hAnsi="Avenir Next Regular"/>
        </w:rPr>
        <w:t>against an order of acquittal in terms of the proviso to Section 372 without seeking any specia</w:t>
      </w:r>
      <w:r>
        <w:rPr>
          <w:rFonts w:ascii="Avenir Next Regular" w:hAnsi="Avenir Next Regular"/>
        </w:rPr>
        <w:t>l leave to appeal from the High Court only on the grounds mentioned therein. A person who is a complainant under Section 200 of the CrPC who complains about the offence committed by a person who is charged as an accused under Section 138 of the Act, thus h</w:t>
      </w:r>
      <w:r>
        <w:rPr>
          <w:rFonts w:ascii="Avenir Next Regular" w:hAnsi="Avenir Next Regular"/>
        </w:rPr>
        <w:t xml:space="preserve">as the right to prefer an appeal as a victim under the proviso to Section 372 of the CrPC. </w:t>
      </w:r>
    </w:p>
    <w:p w:rsidR="00DA1FCD" w:rsidRDefault="005147AF">
      <w:pPr>
        <w:pStyle w:val="Default"/>
        <w:spacing w:before="0" w:after="240" w:line="240" w:lineRule="auto"/>
        <w:ind w:left="567"/>
        <w:rPr>
          <w:rFonts w:ascii="Avenir Next Regular" w:eastAsia="Avenir Next Regular" w:hAnsi="Avenir Next Regular" w:cs="Avenir Next Regular"/>
        </w:rPr>
      </w:pPr>
      <w:r>
        <w:rPr>
          <w:rFonts w:ascii="Avenir Next Regular" w:hAnsi="Avenir Next Regular"/>
        </w:rPr>
        <w:t>As already noted, the proviso to Section 372 of the CrPC was inserted in the statute book only with effect from 31.12.2009. The object and reason for such insertion</w:t>
      </w:r>
      <w:r>
        <w:rPr>
          <w:rFonts w:ascii="Avenir Next Regular" w:hAnsi="Avenir Next Regular"/>
        </w:rPr>
        <w:t xml:space="preserve"> must be realised and must be given its full effect to by a court. </w:t>
      </w:r>
    </w:p>
    <w:p w:rsidR="00DA1FCD" w:rsidRDefault="005147AF">
      <w:pPr>
        <w:pStyle w:val="Default"/>
        <w:spacing w:before="0" w:after="240" w:line="240" w:lineRule="auto"/>
        <w:ind w:left="567"/>
        <w:rPr>
          <w:rFonts w:ascii="Avenir Next Regular" w:eastAsia="Avenir Next Regular" w:hAnsi="Avenir Next Regular" w:cs="Avenir Next Regular"/>
        </w:rPr>
      </w:pPr>
      <w:r>
        <w:rPr>
          <w:rFonts w:ascii="Avenir Next Regular" w:hAnsi="Avenir Next Regular"/>
        </w:rPr>
        <w:t xml:space="preserve">In view of the aforesaid discussion, we hold that </w:t>
      </w:r>
      <w:r>
        <w:rPr>
          <w:rFonts w:ascii="Avenir Next Regular" w:hAnsi="Avenir Next Regular"/>
          <w:u w:val="single"/>
        </w:rPr>
        <w:t xml:space="preserve">the victim of an offence has the right to prefer an appeal under the proviso to Section 372 of the CrPC, irrespective of whether he is a </w:t>
      </w:r>
      <w:r>
        <w:rPr>
          <w:rFonts w:ascii="Avenir Next Regular" w:hAnsi="Avenir Next Regular"/>
          <w:u w:val="single"/>
        </w:rPr>
        <w:t>complainant or not</w:t>
      </w:r>
      <w:r>
        <w:rPr>
          <w:rFonts w:ascii="Avenir Next Regular" w:hAnsi="Avenir Next Regular"/>
        </w:rPr>
        <w:t xml:space="preserve">. </w:t>
      </w:r>
      <w:r>
        <w:rPr>
          <w:rFonts w:ascii="Avenir Next Regular" w:hAnsi="Avenir Next Regular"/>
          <w:u w:val="single"/>
        </w:rPr>
        <w:t>Even if the victim of an offence is a complainant, he can still proceed under the proviso to Section 372 and need not advert to sub-section (4) of Section 378 of the CrPC</w:t>
      </w:r>
      <w:r>
        <w:rPr>
          <w:rFonts w:ascii="Avenir Next Regular" w:hAnsi="Avenir Next Regular"/>
        </w:rPr>
        <w:t xml:space="preserve">. </w:t>
      </w:r>
    </w:p>
    <w:p w:rsidR="00DA1FCD" w:rsidRDefault="00DA1FCD">
      <w:pPr>
        <w:pStyle w:val="Default"/>
        <w:spacing w:before="0" w:after="240" w:line="240" w:lineRule="auto"/>
        <w:ind w:left="567"/>
        <w:rPr>
          <w:rFonts w:ascii="Avenir Next Regular" w:eastAsia="Avenir Next Regular" w:hAnsi="Avenir Next Regular" w:cs="Avenir Next Regular"/>
        </w:rPr>
      </w:pPr>
    </w:p>
    <w:p w:rsidR="00DA1FCD" w:rsidRDefault="005147AF">
      <w:pPr>
        <w:pStyle w:val="Default"/>
        <w:spacing w:before="0" w:after="240" w:line="240" w:lineRule="auto"/>
        <w:ind w:left="567"/>
        <w:rPr>
          <w:rFonts w:ascii="Avenir Next Regular" w:eastAsia="Avenir Next Regular" w:hAnsi="Avenir Next Regular" w:cs="Avenir Next Regular"/>
        </w:rPr>
      </w:pPr>
      <w:r>
        <w:rPr>
          <w:rFonts w:ascii="Avenir Next Regular" w:hAnsi="Avenir Next Regular"/>
        </w:rPr>
        <w:t>Link to judgment :</w:t>
      </w:r>
    </w:p>
    <w:p w:rsidR="00DA1FCD" w:rsidRDefault="00DA1FCD">
      <w:pPr>
        <w:pStyle w:val="Default"/>
        <w:spacing w:before="0" w:after="240" w:line="240" w:lineRule="auto"/>
        <w:ind w:left="567"/>
        <w:rPr>
          <w:rFonts w:ascii="Avenir Next Regular" w:eastAsia="Avenir Next Regular" w:hAnsi="Avenir Next Regular" w:cs="Avenir Next Regular"/>
        </w:rPr>
      </w:pPr>
      <w:hyperlink r:id="rId7" w:history="1">
        <w:r w:rsidR="005147AF">
          <w:rPr>
            <w:rStyle w:val="Hyperlink0"/>
            <w:rFonts w:ascii="Avenir Next Regular" w:hAnsi="Avenir Next Regular"/>
          </w:rPr>
          <w:t>https://api.sci.gov.in/supremecourt/2024/49668/49668_2024_6_10_60765_Judgement_08-Apr-2025.pdf</w:t>
        </w:r>
      </w:hyperlink>
    </w:p>
    <w:p w:rsidR="00DA1FCD" w:rsidRDefault="00DA1FCD">
      <w:pPr>
        <w:pStyle w:val="Default"/>
        <w:spacing w:before="0" w:line="240" w:lineRule="auto"/>
        <w:rPr>
          <w:rFonts w:ascii="Avenir Next Demi Bold" w:eastAsia="Avenir Next Demi Bold" w:hAnsi="Avenir Next Demi Bold" w:cs="Avenir Next Demi Bold"/>
          <w:i/>
          <w:iCs/>
        </w:rPr>
      </w:pPr>
    </w:p>
    <w:p w:rsidR="00DA1FCD" w:rsidRDefault="005147AF">
      <w:pPr>
        <w:pStyle w:val="Default"/>
        <w:spacing w:before="0" w:line="240" w:lineRule="auto"/>
        <w:rPr>
          <w:rFonts w:ascii="Avenir Next Demi Bold" w:eastAsia="Avenir Next Demi Bold" w:hAnsi="Avenir Next Demi Bold" w:cs="Avenir Next Demi Bold"/>
          <w:i/>
          <w:iCs/>
        </w:rPr>
      </w:pPr>
      <w:r>
        <w:rPr>
          <w:rFonts w:ascii="Avenir Next Demi Bold" w:hAnsi="Avenir Next Demi Bold"/>
          <w:i/>
          <w:iCs/>
        </w:rPr>
        <w:t xml:space="preserve">Note: For proper understanding and interpretation, please read the full judgment. This brief </w:t>
      </w:r>
      <w:r>
        <w:rPr>
          <w:rFonts w:ascii="Avenir Next Demi Bold" w:hAnsi="Avenir Next Demi Bold"/>
          <w:i/>
          <w:iCs/>
        </w:rPr>
        <w:t>update reflects only my reading and personal understanding.</w:t>
      </w:r>
    </w:p>
    <w:p w:rsidR="00DA1FCD" w:rsidRDefault="00DA1FCD">
      <w:pPr>
        <w:pStyle w:val="Default"/>
        <w:spacing w:before="0" w:line="240" w:lineRule="auto"/>
        <w:rPr>
          <w:rFonts w:ascii="Avenir Next Regular" w:eastAsia="Avenir Next Regular" w:hAnsi="Avenir Next Regular" w:cs="Avenir Next Regular"/>
        </w:rPr>
      </w:pPr>
    </w:p>
    <w:p w:rsidR="00DA1FCD" w:rsidRDefault="00DA1FCD">
      <w:pPr>
        <w:pStyle w:val="Default"/>
        <w:spacing w:before="0" w:line="240" w:lineRule="auto"/>
        <w:rPr>
          <w:rFonts w:ascii="Avenir Next Demi Bold" w:eastAsia="Avenir Next Demi Bold" w:hAnsi="Avenir Next Demi Bold" w:cs="Avenir Next Demi Bold"/>
          <w:i/>
          <w:iCs/>
        </w:rPr>
      </w:pPr>
    </w:p>
    <w:p w:rsidR="00DA1FCD" w:rsidRDefault="00DA1FCD">
      <w:pPr>
        <w:pStyle w:val="Default"/>
        <w:spacing w:before="0" w:line="240" w:lineRule="auto"/>
        <w:rPr>
          <w:rFonts w:ascii="Avenir Next Regular" w:eastAsia="Avenir Next Regular" w:hAnsi="Avenir Next Regular" w:cs="Avenir Next Regular"/>
          <w:u w:val="single"/>
        </w:rPr>
      </w:pPr>
    </w:p>
    <w:p w:rsidR="00DA1FCD" w:rsidRDefault="00DA1FCD">
      <w:pPr>
        <w:pStyle w:val="Default"/>
        <w:spacing w:before="0" w:line="240" w:lineRule="auto"/>
        <w:rPr>
          <w:rFonts w:ascii="Avenir Next Regular" w:eastAsia="Avenir Next Regular" w:hAnsi="Avenir Next Regular" w:cs="Avenir Next Regular"/>
          <w:u w:val="single"/>
        </w:rPr>
      </w:pPr>
    </w:p>
    <w:p w:rsidR="00DA1FCD" w:rsidRDefault="00DA1FCD">
      <w:pPr>
        <w:pStyle w:val="Default"/>
        <w:spacing w:before="0" w:line="240" w:lineRule="auto"/>
      </w:pPr>
    </w:p>
    <w:sectPr w:rsidR="00DA1FCD" w:rsidSect="00DA1FCD">
      <w:headerReference w:type="default" r:id="rId8"/>
      <w:footerReference w:type="default" r:id="rId9"/>
      <w:pgSz w:w="11906" w:h="16838"/>
      <w:pgMar w:top="1134" w:right="1134" w:bottom="1134" w:left="1134" w:header="709" w:footer="85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47AF" w:rsidRDefault="005147AF" w:rsidP="00DA1FCD">
      <w:r>
        <w:separator/>
      </w:r>
    </w:p>
  </w:endnote>
  <w:endnote w:type="continuationSeparator" w:id="1">
    <w:p w:rsidR="005147AF" w:rsidRDefault="005147AF" w:rsidP="00DA1FC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charset w:val="00"/>
    <w:family w:val="auto"/>
    <w:pitch w:val="variable"/>
    <w:sig w:usb0="80000067" w:usb1="00000000" w:usb2="00000000" w:usb3="00000000" w:csb0="00000001" w:csb1="00000000"/>
  </w:font>
  <w:font w:name="Avenir Next Regular">
    <w:altName w:val="Times New Roman"/>
    <w:charset w:val="00"/>
    <w:family w:val="roman"/>
    <w:pitch w:val="default"/>
    <w:sig w:usb0="00000000" w:usb1="00000000" w:usb2="00000000" w:usb3="00000000" w:csb0="00000000" w:csb1="00000000"/>
  </w:font>
  <w:font w:name="Avenir Next Demi Bold">
    <w:altName w:val="Times New Roman"/>
    <w:charset w:val="00"/>
    <w:family w:val="roman"/>
    <w:pitch w:val="default"/>
    <w:sig w:usb0="00000000" w:usb1="00000000" w:usb2="00000000" w:usb3="00000000" w:csb0="00000000" w:csb1="00000000"/>
  </w:font>
  <w:font w:name="Avenir Next Medium">
    <w:altName w:val="Times New Roman"/>
    <w:charset w:val="00"/>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FCD" w:rsidRDefault="00DA1FC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47AF" w:rsidRDefault="005147AF" w:rsidP="00DA1FCD">
      <w:r>
        <w:separator/>
      </w:r>
    </w:p>
  </w:footnote>
  <w:footnote w:type="continuationSeparator" w:id="1">
    <w:p w:rsidR="005147AF" w:rsidRDefault="005147AF" w:rsidP="00DA1FC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FCD" w:rsidRDefault="00DA1FC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96672B"/>
    <w:multiLevelType w:val="hybridMultilevel"/>
    <w:tmpl w:val="35764EBC"/>
    <w:styleLink w:val="Lettered"/>
    <w:lvl w:ilvl="0" w:tplc="F2EA81E2">
      <w:start w:val="1"/>
      <w:numFmt w:val="low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281E8E7C">
      <w:start w:val="1"/>
      <w:numFmt w:val="lowerRoman"/>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AE86FCC0">
      <w:start w:val="1"/>
      <w:numFmt w:val="low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00063E1A">
      <w:start w:val="1"/>
      <w:numFmt w:val="low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BBCE7248">
      <w:start w:val="1"/>
      <w:numFmt w:val="low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B626702A">
      <w:start w:val="1"/>
      <w:numFmt w:val="low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6D1E9B30">
      <w:start w:val="1"/>
      <w:numFmt w:val="low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1F205242">
      <w:start w:val="1"/>
      <w:numFmt w:val="low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203CEDA6">
      <w:start w:val="1"/>
      <w:numFmt w:val="low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3C194C8F"/>
    <w:multiLevelType w:val="hybridMultilevel"/>
    <w:tmpl w:val="35764EBC"/>
    <w:numStyleLink w:val="Lettered"/>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useFELayout/>
  </w:compat>
  <w:rsids>
    <w:rsidRoot w:val="00DA1FCD"/>
    <w:rsid w:val="0015359E"/>
    <w:rsid w:val="005147AF"/>
    <w:rsid w:val="00DA1F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A1FC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A1FCD"/>
    <w:rPr>
      <w:u w:val="single"/>
    </w:rPr>
  </w:style>
  <w:style w:type="paragraph" w:customStyle="1" w:styleId="Default">
    <w:name w:val="Default"/>
    <w:rsid w:val="00DA1FCD"/>
    <w:pPr>
      <w:spacing w:before="160" w:line="288" w:lineRule="auto"/>
    </w:pPr>
    <w:rPr>
      <w:rFonts w:ascii="Helvetica Neue" w:hAnsi="Helvetica Neue" w:cs="Arial Unicode MS"/>
      <w:color w:val="000000"/>
      <w:sz w:val="24"/>
      <w:szCs w:val="24"/>
      <w:shd w:val="nil"/>
    </w:rPr>
  </w:style>
  <w:style w:type="paragraph" w:customStyle="1" w:styleId="Body">
    <w:name w:val="Body"/>
    <w:rsid w:val="00DA1FCD"/>
    <w:rPr>
      <w:rFonts w:ascii="Helvetica Neue" w:eastAsia="Helvetica Neue" w:hAnsi="Helvetica Neue" w:cs="Helvetica Neue"/>
      <w:color w:val="000000"/>
      <w:sz w:val="22"/>
      <w:szCs w:val="22"/>
      <w:shd w:val="nil"/>
    </w:rPr>
  </w:style>
  <w:style w:type="numbering" w:customStyle="1" w:styleId="Lettered">
    <w:name w:val="Lettered"/>
    <w:rsid w:val="00DA1FCD"/>
    <w:pPr>
      <w:numPr>
        <w:numId w:val="1"/>
      </w:numPr>
    </w:pPr>
  </w:style>
  <w:style w:type="character" w:customStyle="1" w:styleId="Hyperlink0">
    <w:name w:val="Hyperlink.0"/>
    <w:basedOn w:val="Hyperlink"/>
    <w:rsid w:val="00DA1FCD"/>
    <w:rPr>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i.sci.gov.in/supremecourt/2024/49668/49668_2024_6_10_60765_Judgement_08-Apr-202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2026-09-12T07:16:00Z</dcterms:created>
  <dcterms:modified xsi:type="dcterms:W3CDTF">2026-09-12T07:16:00Z</dcterms:modified>
</cp:coreProperties>
</file>