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EB2" w:rsidRDefault="007D0EB2">
      <w:pPr>
        <w:pStyle w:val="Default"/>
        <w:spacing w:before="0" w:line="240" w:lineRule="auto"/>
        <w:rPr>
          <w:rFonts w:ascii="Avenir Next Regular" w:eastAsia="Avenir Next Regular" w:hAnsi="Avenir Next Regular" w:cs="Avenir Next Regular"/>
          <w:sz w:val="20"/>
          <w:szCs w:val="20"/>
        </w:rPr>
      </w:pPr>
    </w:p>
    <w:p w:rsidR="007D0EB2" w:rsidRDefault="00C461F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after="160" w:line="240" w:lineRule="auto"/>
        <w:ind w:left="567"/>
        <w:rPr>
          <w:rFonts w:ascii="Avenir Next Regular" w:eastAsia="Avenir Next Regular" w:hAnsi="Avenir Next Regular" w:cs="Avenir Next Regular"/>
        </w:rPr>
      </w:pPr>
      <w:r>
        <w:rPr>
          <w:rFonts w:ascii="Avenir Next Regular" w:hAnsi="Avenir Next Regular"/>
          <w:u w:val="single"/>
        </w:rPr>
        <w:t>An Important Reaffirmation of Law in Protecting Liberty</w:t>
      </w:r>
      <w:r>
        <w:rPr>
          <w:rFonts w:ascii="Avenir Next Regular" w:hAnsi="Avenir Next Regular"/>
        </w:rPr>
        <w:t xml:space="preserve"> :</w:t>
      </w:r>
    </w:p>
    <w:p w:rsidR="007D0EB2" w:rsidRDefault="00C461F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  <w:r>
        <w:rPr>
          <w:rFonts w:ascii="Avenir Next Regular" w:hAnsi="Avenir Next Regular"/>
        </w:rPr>
        <w:t xml:space="preserve">The Supreme Court, recently (2026 </w:t>
      </w:r>
      <w:r>
        <w:rPr>
          <w:rFonts w:ascii="Avenir Next Regular" w:hAnsi="Avenir Next Regular"/>
          <w:lang w:val="fr-FR"/>
        </w:rPr>
        <w:t>April</w:t>
      </w:r>
      <w:r>
        <w:rPr>
          <w:rFonts w:ascii="Avenir Next Regular" w:hAnsi="Avenir Next Regular"/>
        </w:rPr>
        <w:t xml:space="preserve">), </w:t>
      </w:r>
      <w:r>
        <w:rPr>
          <w:rFonts w:ascii="Avenir Next Regular" w:hAnsi="Avenir Next Regular"/>
        </w:rPr>
        <w:t xml:space="preserve">in </w:t>
      </w:r>
      <w:r>
        <w:rPr>
          <w:rFonts w:ascii="Avenir Next Regular" w:hAnsi="Avenir Next Regular"/>
        </w:rPr>
        <w:t xml:space="preserve">a significant ruling in </w:t>
      </w:r>
      <w:r>
        <w:rPr>
          <w:rFonts w:ascii="Avenir Next Medium" w:hAnsi="Avenir Next Medium"/>
          <w:i/>
          <w:iCs/>
        </w:rPr>
        <w:t>Om Prakash Chhawnika v. State of Jharkhand and Another</w:t>
      </w:r>
      <w:r>
        <w:rPr>
          <w:rFonts w:ascii="Avenir Next Regular" w:hAnsi="Avenir Next Regular"/>
        </w:rPr>
        <w:t xml:space="preserve">, </w:t>
      </w:r>
      <w:r>
        <w:rPr>
          <w:rFonts w:ascii="Avenir Next Regular" w:hAnsi="Avenir Next Regular"/>
        </w:rPr>
        <w:t xml:space="preserve">has held that </w:t>
      </w:r>
      <w:r>
        <w:rPr>
          <w:rFonts w:ascii="Avenir Next Regular" w:hAnsi="Avenir Next Regular"/>
          <w:u w:val="single"/>
        </w:rPr>
        <w:t>in a C</w:t>
      </w:r>
      <w:r>
        <w:rPr>
          <w:rFonts w:ascii="Avenir Next Regular" w:hAnsi="Avenir Next Regular"/>
          <w:u w:val="single"/>
        </w:rPr>
        <w:t>omplaint case</w:t>
      </w:r>
      <w:r>
        <w:rPr>
          <w:rFonts w:ascii="Avenir Next Regular" w:hAnsi="Avenir Next Regular"/>
        </w:rPr>
        <w:t>, the police have no power to arrest an individual unless there has been an arrest warrant issued by the court.</w:t>
      </w:r>
    </w:p>
    <w:p w:rsidR="007D0EB2" w:rsidRDefault="007D0EB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</w:p>
    <w:p w:rsidR="007D0EB2" w:rsidRDefault="00C461F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  <w:r>
        <w:rPr>
          <w:rFonts w:ascii="Avenir Next Regular" w:hAnsi="Avenir Next Regular"/>
        </w:rPr>
        <w:t>While discussing the procedure relating to a private complaint upon taking cognizance and issuing process, the Court noted that su</w:t>
      </w:r>
      <w:r>
        <w:rPr>
          <w:rFonts w:ascii="Avenir Next Regular" w:hAnsi="Avenir Next Regular"/>
        </w:rPr>
        <w:t xml:space="preserve">mmons, being the initial mode of process under Section 87 Cr.P.C., require only that the accused comply by appearing before the Court. Bail would essentially be granted (refer </w:t>
      </w:r>
      <w:r>
        <w:rPr>
          <w:rFonts w:ascii="Avenir Next Regular" w:hAnsi="Avenir Next Regular"/>
          <w:i/>
          <w:iCs/>
        </w:rPr>
        <w:t xml:space="preserve">Satender Kumar Antil </w:t>
      </w:r>
      <w:r>
        <w:rPr>
          <w:rFonts w:ascii="Avenir Next Regular" w:hAnsi="Avenir Next Regular"/>
          <w:i/>
          <w:iCs/>
        </w:rPr>
        <w:t xml:space="preserve">v/s CBI, </w:t>
      </w:r>
      <w:r>
        <w:rPr>
          <w:rFonts w:ascii="Avenir Next Regular" w:hAnsi="Avenir Next Regular"/>
          <w:i/>
          <w:iCs/>
        </w:rPr>
        <w:t>202</w:t>
      </w:r>
      <w:r>
        <w:rPr>
          <w:rFonts w:ascii="Avenir Next Regular" w:hAnsi="Avenir Next Regular"/>
          <w:i/>
          <w:iCs/>
        </w:rPr>
        <w:t>2</w:t>
      </w:r>
      <w:r>
        <w:rPr>
          <w:rFonts w:ascii="Avenir Next Regular" w:hAnsi="Avenir Next Regular"/>
        </w:rPr>
        <w:t>&amp;</w:t>
      </w:r>
      <w:r>
        <w:rPr>
          <w:rFonts w:ascii="Avenir Next Regular" w:hAnsi="Avenir Next Regular"/>
          <w:i/>
          <w:iCs/>
        </w:rPr>
        <w:t xml:space="preserve">Inder Mohan Goswami v. State of Uttaranchal, </w:t>
      </w:r>
      <w:r>
        <w:rPr>
          <w:rFonts w:ascii="Avenir Next Regular" w:hAnsi="Avenir Next Regular"/>
          <w:i/>
          <w:iCs/>
        </w:rPr>
        <w:t>2007)</w:t>
      </w:r>
      <w:r>
        <w:rPr>
          <w:rFonts w:ascii="Avenir Next Regular" w:hAnsi="Avenir Next Regular"/>
        </w:rPr>
        <w:t>.</w:t>
      </w:r>
    </w:p>
    <w:p w:rsidR="007D0EB2" w:rsidRDefault="007D0EB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</w:p>
    <w:p w:rsidR="007D0EB2" w:rsidRDefault="00C461F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  <w:r>
        <w:rPr>
          <w:rFonts w:ascii="Avenir Next Regular" w:hAnsi="Avenir Next Regular"/>
        </w:rPr>
        <w:t xml:space="preserve">The Court, by way of an illustration, observed </w:t>
      </w:r>
      <w:r>
        <w:rPr>
          <w:rFonts w:ascii="Avenir Next Regular" w:hAnsi="Avenir Next Regular"/>
          <w:i/>
          <w:iCs/>
          <w:rtl/>
          <w:lang w:val="ar-SA"/>
        </w:rPr>
        <w:t>“</w:t>
      </w:r>
      <w:r>
        <w:rPr>
          <w:rFonts w:ascii="Avenir Next Regular" w:hAnsi="Avenir Next Regular"/>
          <w:i/>
          <w:iCs/>
        </w:rPr>
        <w:t xml:space="preserve">If a magistrate orders a Police inquiry under Section 202 and asks the police to give a report, then whether in the course of such inquiry, the police canarrest the accused. The answer is an emphatic </w:t>
      </w:r>
      <w:r>
        <w:rPr>
          <w:rFonts w:ascii="Avenir Next Regular" w:hAnsi="Avenir Next Regular"/>
          <w:i/>
          <w:iCs/>
          <w:rtl/>
          <w:lang w:val="ar-SA"/>
        </w:rPr>
        <w:t>“</w:t>
      </w:r>
      <w:r>
        <w:rPr>
          <w:rFonts w:ascii="Avenir Next Regular" w:hAnsi="Avenir Next Regular"/>
          <w:i/>
          <w:iCs/>
          <w:lang w:val="de-DE"/>
        </w:rPr>
        <w:t>NO</w:t>
      </w:r>
      <w:r>
        <w:rPr>
          <w:rFonts w:ascii="Avenir Next Regular" w:hAnsi="Avenir Next Regular"/>
          <w:i/>
          <w:iCs/>
        </w:rPr>
        <w:t>”</w:t>
      </w:r>
      <w:r>
        <w:rPr>
          <w:rFonts w:ascii="Avenir Next Regular" w:hAnsi="Avenir Next Regular"/>
          <w:i/>
          <w:iCs/>
        </w:rPr>
        <w:t>, Police has</w:t>
      </w:r>
      <w:r>
        <w:rPr>
          <w:rFonts w:ascii="Avenir Next Regular" w:hAnsi="Avenir Next Regular"/>
          <w:i/>
          <w:iCs/>
        </w:rPr>
        <w:t>no powers to arrest even during the course of the inquiry underSection 202 of the Cr.PC.</w:t>
      </w:r>
      <w:r>
        <w:rPr>
          <w:rFonts w:ascii="Avenir Next Regular" w:hAnsi="Avenir Next Regular"/>
          <w:i/>
          <w:iCs/>
        </w:rPr>
        <w:t>”</w:t>
      </w:r>
    </w:p>
    <w:p w:rsidR="007D0EB2" w:rsidRDefault="007D0EB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</w:p>
    <w:p w:rsidR="007D0EB2" w:rsidRDefault="00C461F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  <w:r>
        <w:rPr>
          <w:rFonts w:ascii="Avenir Next Regular" w:hAnsi="Avenir Next Regular"/>
        </w:rPr>
        <w:t>The Court identified two States in India (Bihar &amp; Jharkhand) where the violations take place on a regular basis, and directed that the Judgment in th</w:t>
      </w:r>
      <w:r>
        <w:rPr>
          <w:rFonts w:ascii="Avenir Next Regular" w:hAnsi="Avenir Next Regular"/>
        </w:rPr>
        <w:t>is case be placed before the Chief Justices of the said High Courts.</w:t>
      </w:r>
    </w:p>
    <w:p w:rsidR="007D0EB2" w:rsidRDefault="007D0EB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</w:p>
    <w:p w:rsidR="007D0EB2" w:rsidRDefault="00C461F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ind w:left="567"/>
        <w:rPr>
          <w:rFonts w:ascii="Avenir Next Regular" w:eastAsia="Avenir Next Regular" w:hAnsi="Avenir Next Regular" w:cs="Avenir Next Regular"/>
        </w:rPr>
      </w:pPr>
      <w:r>
        <w:rPr>
          <w:rFonts w:ascii="Avenir Next Regular" w:hAnsi="Avenir Next Regular"/>
          <w:u w:val="single"/>
        </w:rPr>
        <w:t>A Closing Note</w:t>
      </w:r>
      <w:r>
        <w:rPr>
          <w:rFonts w:ascii="Avenir Next Regular" w:hAnsi="Avenir Next Regular"/>
        </w:rPr>
        <w:t xml:space="preserve"> : Every private complaint filed under section 200 CrPC cannot be termed as a </w:t>
      </w:r>
      <w:r>
        <w:rPr>
          <w:rFonts w:ascii="Avenir Next Regular" w:hAnsi="Avenir Next Regular"/>
          <w:rtl/>
        </w:rPr>
        <w:t>‘</w:t>
      </w:r>
      <w:r>
        <w:rPr>
          <w:rFonts w:ascii="Avenir Next Regular" w:hAnsi="Avenir Next Regular"/>
        </w:rPr>
        <w:t>Complaint Case</w:t>
      </w:r>
      <w:r>
        <w:rPr>
          <w:rFonts w:ascii="Avenir Next Regular" w:hAnsi="Avenir Next Regular"/>
          <w:rtl/>
        </w:rPr>
        <w:t>’</w:t>
      </w:r>
      <w:r>
        <w:rPr>
          <w:rFonts w:ascii="Avenir Next Regular" w:hAnsi="Avenir Next Regular"/>
        </w:rPr>
        <w:t>. One needs to distinguish between a private complaint referred for investigat</w:t>
      </w:r>
      <w:r>
        <w:rPr>
          <w:rFonts w:ascii="Avenir Next Regular" w:hAnsi="Avenir Next Regular"/>
        </w:rPr>
        <w:t>ion under Section 156(3) Cr.P.C. / Section 175 BNSS resulting in a charge sheet, and a case that proceeds under Chapter XIX</w:t>
      </w:r>
      <w:r>
        <w:rPr>
          <w:rFonts w:ascii="Avenir Next Regular" w:hAnsi="Avenir Next Regular"/>
        </w:rPr>
        <w:t>‑</w:t>
      </w:r>
      <w:r>
        <w:rPr>
          <w:rFonts w:ascii="Avenir Next Regular" w:hAnsi="Avenir Next Regular"/>
        </w:rPr>
        <w:t>B Cr.P.C. / Chapter XX</w:t>
      </w:r>
      <w:r>
        <w:rPr>
          <w:rFonts w:ascii="Avenir Next Regular" w:hAnsi="Avenir Next Regular"/>
        </w:rPr>
        <w:t>‑</w:t>
      </w:r>
      <w:r>
        <w:rPr>
          <w:rFonts w:ascii="Avenir Next Regular" w:hAnsi="Avenir Next Regular"/>
        </w:rPr>
        <w:t xml:space="preserve">B BNSS, i.e., </w:t>
      </w:r>
      <w:r>
        <w:rPr>
          <w:rFonts w:ascii="Avenir Next Regular" w:hAnsi="Avenir Next Regular"/>
          <w:rtl/>
        </w:rPr>
        <w:t>‘</w:t>
      </w:r>
      <w:r>
        <w:rPr>
          <w:rFonts w:ascii="Avenir Next Regular" w:hAnsi="Avenir Next Regular"/>
        </w:rPr>
        <w:t>cases instituted otherwise than on police report</w:t>
      </w:r>
      <w:r>
        <w:rPr>
          <w:rFonts w:ascii="Avenir Next Regular" w:hAnsi="Avenir Next Regular"/>
          <w:rtl/>
        </w:rPr>
        <w:t>’</w:t>
      </w:r>
      <w:r>
        <w:rPr>
          <w:rFonts w:ascii="Avenir Next Regular" w:hAnsi="Avenir Next Regular"/>
        </w:rPr>
        <w:t>.</w:t>
      </w:r>
    </w:p>
    <w:p w:rsidR="007D0EB2" w:rsidRDefault="007D0EB2">
      <w:pPr>
        <w:pStyle w:val="Default"/>
        <w:spacing w:before="0" w:line="240" w:lineRule="auto"/>
        <w:rPr>
          <w:rFonts w:ascii="Avenir Next Regular" w:eastAsia="Avenir Next Regular" w:hAnsi="Avenir Next Regular" w:cs="Avenir Next Regular"/>
          <w:u w:val="single"/>
        </w:rPr>
      </w:pPr>
    </w:p>
    <w:p w:rsidR="007D0EB2" w:rsidRDefault="00C461F3">
      <w:pPr>
        <w:pStyle w:val="Default"/>
        <w:spacing w:before="0" w:line="240" w:lineRule="auto"/>
        <w:ind w:left="567"/>
      </w:pPr>
      <w:r>
        <w:rPr>
          <w:rFonts w:ascii="Avenir Next Demi Bold" w:hAnsi="Avenir Next Demi Bold"/>
          <w:i/>
          <w:iCs/>
        </w:rPr>
        <w:t>Note: For proper understanding and interpr</w:t>
      </w:r>
      <w:r>
        <w:rPr>
          <w:rFonts w:ascii="Avenir Next Demi Bold" w:hAnsi="Avenir Next Demi Bold"/>
          <w:i/>
          <w:iCs/>
        </w:rPr>
        <w:t>etation, please read the full judgment. This brief update reflects only my reading and personal understanding.</w:t>
      </w:r>
    </w:p>
    <w:sectPr w:rsidR="007D0EB2" w:rsidSect="007D0EB2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61F3" w:rsidRDefault="00C461F3" w:rsidP="007D0EB2">
      <w:r>
        <w:separator/>
      </w:r>
    </w:p>
  </w:endnote>
  <w:endnote w:type="continuationSeparator" w:id="1">
    <w:p w:rsidR="00C461F3" w:rsidRDefault="00C461F3" w:rsidP="007D0E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charset w:val="00"/>
    <w:family w:val="auto"/>
    <w:pitch w:val="variable"/>
    <w:sig w:usb0="80000067" w:usb1="00000000" w:usb2="00000000" w:usb3="00000000" w:csb0="00000001" w:csb1="00000000"/>
  </w:font>
  <w:font w:name="Avenir Next Regular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venir Next Medium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venir Next Demi Bold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EB2" w:rsidRDefault="007D0EB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61F3" w:rsidRDefault="00C461F3" w:rsidP="007D0EB2">
      <w:r>
        <w:separator/>
      </w:r>
    </w:p>
  </w:footnote>
  <w:footnote w:type="continuationSeparator" w:id="1">
    <w:p w:rsidR="00C461F3" w:rsidRDefault="00C461F3" w:rsidP="007D0E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EB2" w:rsidRDefault="007D0EB2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D0EB2"/>
    <w:rsid w:val="007D0EB2"/>
    <w:rsid w:val="009058E3"/>
    <w:rsid w:val="00C46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D0EB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D0EB2"/>
    <w:rPr>
      <w:u w:val="single"/>
    </w:rPr>
  </w:style>
  <w:style w:type="paragraph" w:customStyle="1" w:styleId="Default">
    <w:name w:val="Default"/>
    <w:rsid w:val="007D0EB2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customStyle="1" w:styleId="Body">
    <w:name w:val="Body"/>
    <w:rsid w:val="007D0EB2"/>
    <w:rPr>
      <w:rFonts w:ascii="Helvetica Neue" w:eastAsia="Helvetica Neue" w:hAnsi="Helvetica Neue" w:cs="Helvetica Neue"/>
      <w:color w:val="000000"/>
      <w:sz w:val="22"/>
      <w:szCs w:val="22"/>
      <w:shd w:val="n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2026-09-12T07:16:00Z</dcterms:created>
  <dcterms:modified xsi:type="dcterms:W3CDTF">2026-09-12T07:17:00Z</dcterms:modified>
</cp:coreProperties>
</file>