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jc w:val="center"/>
      </w:pPr>
      <w:r>
        <w:rPr>
          <w:rFonts w:ascii="Times New Roman" w:cs="Times New Roman" w:eastAsia="Times New Roman" w:hAnsi="Times New Roman"/>
          <w:b/>
          <w:bCs/>
          <w:sz w:val="36"/>
          <w:szCs w:val="36"/>
        </w:rPr>
        <w:t xml:space="preserve">A Comparative Study of NA²Q and HiT-MAC for</w:t>
      </w:r>
    </w:p>
    <w:p>
      <w:pPr>
        <w:spacing w:after="240"/>
        <w:jc w:val="center"/>
      </w:pPr>
      <w:r>
        <w:rPr>
          <w:rFonts w:ascii="Times New Roman" w:cs="Times New Roman" w:eastAsia="Times New Roman" w:hAnsi="Times New Roman"/>
          <w:b/>
          <w:bCs/>
          <w:sz w:val="36"/>
          <w:szCs w:val="36"/>
        </w:rPr>
        <w:t xml:space="preserve">Cooperative Target Coverage in Directional Sensor Networks</w:t>
      </w:r>
    </w:p>
    <w:p>
      <w:pPr>
        <w:spacing w:after="80"/>
        <w:jc w:val="center"/>
      </w:pPr>
      <w:r>
        <w:rPr>
          <w:rFonts w:ascii="Times New Roman" w:cs="Times New Roman" w:eastAsia="Times New Roman" w:hAnsi="Times New Roman"/>
          <w:i/>
          <w:iCs/>
          <w:sz w:val="24"/>
          <w:szCs w:val="24"/>
        </w:rPr>
        <w:t xml:space="preserve">Special Subject Report</w:t>
      </w:r>
    </w:p>
    <w:p>
      <w:pPr>
        <w:spacing w:after="320"/>
        <w:jc w:val="center"/>
      </w:pPr>
      <w:r>
        <w:rPr>
          <w:rFonts w:ascii="Times New Roman" w:cs="Times New Roman" w:eastAsia="Times New Roman" w:hAnsi="Times New Roman"/>
          <w:sz w:val="22"/>
          <w:szCs w:val="22"/>
        </w:rPr>
        <w:t xml:space="preserve">May 2026</w:t>
      </w:r>
    </w:p>
    <w:p>
      <w:pPr>
        <w:pStyle w:val="Heading2"/>
        <w:spacing w:after="120" w:before="240"/>
      </w:pPr>
      <w:r>
        <w:rPr>
          <w:rFonts w:ascii="Times New Roman" w:cs="Times New Roman" w:eastAsia="Times New Roman" w:hAnsi="Times New Roman"/>
          <w:b/>
          <w:bCs/>
          <w:sz w:val="26"/>
          <w:szCs w:val="26"/>
        </w:rPr>
        <w:t xml:space="preserve">Abstract</w:t>
      </w:r>
    </w:p>
    <w:p>
      <w:pPr>
        <w:spacing w:after="120" w:line="300"/>
        <w:jc w:val="both"/>
      </w:pPr>
      <w:r>
        <w:rPr>
          <w:rFonts w:ascii="Times New Roman" w:cs="Times New Roman" w:eastAsia="Times New Roman" w:hAnsi="Times New Roman"/>
          <w:b w:val="false"/>
          <w:bCs w:val="false"/>
          <w:i w:val="false"/>
          <w:iCs w:val="false"/>
          <w:sz w:val="22"/>
          <w:szCs w:val="22"/>
        </w:rPr>
        <w:t xml:space="preserve">We empirically compare two existing cooperative multi-agent reinforcement learning (MARL) algorithms — NA²Q (value-decomposition with attention-weighted Shapley mixer) and HiT-MAC (hierarchical coordinator + A3C executors) — on a Directional Sensor Network (DSN) target-coverage task. This report does not propose a new algorithm. We use the public reference implementations of both methods, tune their hyper-parameters for our hardware, and apply small adaptations so they share a common observation/action interface and a common reward function — the algorithmic core of each method is unchanged.</w:t>
      </w:r>
    </w:p>
    <w:p>
      <w:pPr>
        <w:spacing w:after="120" w:line="300"/>
        <w:jc w:val="both"/>
      </w:pPr>
      <w:r>
        <w:rPr>
          <w:rFonts w:ascii="Times New Roman" w:cs="Times New Roman" w:eastAsia="Times New Roman" w:hAnsi="Times New Roman"/>
          <w:b w:val="false"/>
          <w:bCs w:val="false"/>
          <w:i w:val="false"/>
          <w:iCs w:val="false"/>
          <w:sz w:val="22"/>
          <w:szCs w:val="22"/>
        </w:rPr>
        <w:t xml:space="preserve">Two scenarios are evaluated against random and greedy-Hungarian baselines. On Scenario 1 (5 sensors, 6 targets; 5 seeds) both methods peak at ~59.6% coverage, essentially matching the greedy oracle (61.0%), with HiT-MAC more stable across seeds and NA²Q faster in wall-clock terms. On Scenario 2 (50 sensors, 60 targets; 1 seed each) the ranking reverses: NA²Q reaches 65.4% smoothed coverage versus HiT-MAC’s 60.7%, despite both completing in roughly 90 minutes of GPU time. We additionally document an A3C shared-memory race condition that collapsed one HiT-MAC seed on Scenario 1, illustrating a known stability hazard of the underlying algorithm rather than of HiT-MAC itself.</w:t>
      </w:r>
    </w:p>
    <w:p>
      <w:pPr>
        <w:pStyle w:val="Heading1"/>
        <w:spacing w:after="160" w:before="320"/>
      </w:pPr>
      <w:r>
        <w:rPr>
          <w:rFonts w:ascii="Times New Roman" w:cs="Times New Roman" w:eastAsia="Times New Roman" w:hAnsi="Times New Roman"/>
          <w:b/>
          <w:bCs/>
          <w:sz w:val="30"/>
          <w:szCs w:val="30"/>
        </w:rPr>
        <w:t xml:space="preserve">1. Introduction</w:t>
      </w:r>
    </w:p>
    <w:p>
      <w:pPr>
        <w:spacing w:after="120" w:line="300"/>
        <w:jc w:val="both"/>
      </w:pPr>
      <w:r>
        <w:rPr>
          <w:rFonts w:ascii="Times New Roman" w:cs="Times New Roman" w:eastAsia="Times New Roman" w:hAnsi="Times New Roman"/>
          <w:b w:val="false"/>
          <w:bCs w:val="false"/>
          <w:i w:val="false"/>
          <w:iCs w:val="false"/>
          <w:sz w:val="22"/>
          <w:szCs w:val="22"/>
        </w:rPr>
        <w:t xml:space="preserve">Directional Sensor Networks (DSNs) consist of sensors with bounded fields of view that must coordinate to maximise the fraction of moving targets observed at any given time (Xu et al., 2020). Unlike omnidirectional sensors, each agent must choose a heading; uncoordinated heading choices waste sensing capacity through redundant coverage of the same targets while other targets go unobserved. The problem is naturally formalised as a cooperative multi-agent reinforcement learning (MARL) task (Sunehag et al., 2018; Rashid et al., 2018): each sensor is an agent, each target is part of a shared, time-varying observation, and the team reward is the global coverage rate.</w:t>
      </w:r>
    </w:p>
    <w:p>
      <w:pPr>
        <w:spacing w:after="120" w:line="300"/>
        <w:jc w:val="both"/>
      </w:pPr>
      <w:r>
        <w:rPr>
          <w:rFonts w:ascii="Times New Roman" w:cs="Times New Roman" w:eastAsia="Times New Roman" w:hAnsi="Times New Roman"/>
          <w:b w:val="false"/>
          <w:bCs w:val="false"/>
          <w:i w:val="false"/>
          <w:iCs w:val="false"/>
          <w:sz w:val="22"/>
          <w:szCs w:val="22"/>
        </w:rPr>
        <w:t xml:space="preserve">Two recent algorithm families have addressed this style of cooperative MARL problem from different angles. Value-decomposition methods such as VDN (Sunehag et al., 2018), QMIX (Rashid et al., 2018), and NA²Q (Liu et al., 2023) learn a centralised joint Q-function that decomposes additively across agents, allowing per-agent action selection at execution time while preserving credit assignment via attention-weighted Shapley contributions (Liu et al., 2023). Hierarchical actor-critic methods such as HiT-MAC (Xu et al., 2020) instead split the problem into a high-level coordinator that assigns targets to sensors and a low-level executor that turns sensors toward their assignments, trained with asynchronous advantage actor-critic (A3C; Mnih et al., 2016). The two designs make very different bets about what makes coordination tractable, and there is little side-by-side empirical evidence on their relative behaviour in a controlled DSN setting.</w:t>
      </w:r>
    </w:p>
    <w:p>
      <w:pPr>
        <w:spacing w:after="120" w:line="300"/>
        <w:jc w:val="both"/>
      </w:pPr>
      <w:r>
        <w:rPr>
          <w:rFonts w:ascii="Times New Roman" w:cs="Times New Roman" w:eastAsia="Times New Roman" w:hAnsi="Times New Roman"/>
          <w:b w:val="false"/>
          <w:bCs w:val="false"/>
          <w:i w:val="false"/>
          <w:iCs w:val="false"/>
          <w:sz w:val="22"/>
          <w:szCs w:val="22"/>
        </w:rPr>
        <w:t xml:space="preserve">This report fills that gap on a single, shared environment. We train both algorithms on Scenario 1 (5 sensors, 6 targets) and Scenario 2 (50 sensors, 60 targets) using the same observation/action interface, the same reward function, and the same baselines (uniform-random heading and greedy Hungarian assignment), and report learning curves, final coverage, sample efficiency, and stability. The contributions are: (i) a controlled side-by-side comparison of NA²Q (Liu et al., 2023) and HiT-MAC (Xu et al., 2020) on a small (5/6) and a large (50/60) DSN scenario; (ii) the observation that the cross-method ranking flips between the two scales — the two methods tie at the peak on Scenario 1, and NA²Q pulls ahead by ~5 percentage points on Scenario 2; and (iii) a documented A3C (Mnih et al., 2016) training collapse and a discussion of its impact on multi-seed evaluation.</w:t>
      </w:r>
    </w:p>
    <w:p>
      <w:pPr>
        <w:pStyle w:val="Heading1"/>
        <w:spacing w:after="160" w:before="320"/>
      </w:pPr>
      <w:r>
        <w:rPr>
          <w:rFonts w:ascii="Times New Roman" w:cs="Times New Roman" w:eastAsia="Times New Roman" w:hAnsi="Times New Roman"/>
          <w:b/>
          <w:bCs/>
          <w:sz w:val="30"/>
          <w:szCs w:val="30"/>
        </w:rPr>
        <w:t xml:space="preserve">2. Related Work</w:t>
      </w:r>
    </w:p>
    <w:p>
      <w:pPr>
        <w:pStyle w:val="Heading2"/>
        <w:spacing w:after="120" w:before="240"/>
      </w:pPr>
      <w:r>
        <w:rPr>
          <w:rFonts w:ascii="Times New Roman" w:cs="Times New Roman" w:eastAsia="Times New Roman" w:hAnsi="Times New Roman"/>
          <w:b/>
          <w:bCs/>
          <w:sz w:val="26"/>
          <w:szCs w:val="26"/>
        </w:rPr>
        <w:t xml:space="preserve">2.1 Classical DSN coverage</w:t>
      </w:r>
    </w:p>
    <w:p>
      <w:pPr>
        <w:spacing w:after="120" w:line="300"/>
        <w:jc w:val="both"/>
      </w:pPr>
      <w:r>
        <w:rPr>
          <w:rFonts w:ascii="Times New Roman" w:cs="Times New Roman" w:eastAsia="Times New Roman" w:hAnsi="Times New Roman"/>
          <w:b w:val="false"/>
          <w:bCs w:val="false"/>
          <w:i w:val="false"/>
          <w:iCs w:val="false"/>
          <w:sz w:val="22"/>
          <w:szCs w:val="22"/>
        </w:rPr>
        <w:t xml:space="preserve">Coverage in directional sensor networks has been studied for almost two decades as a combinatorial optimisation problem. Guvensan and Yavuz (2011) survey the early literature and identify three sub-problems that recur across the field: target coverage (this report), area coverage, and barrier coverage. Within target coverage, two families dominate the classical era: greedy-rotation heuristics that pick the locally-best heading per sensor under a coverage utility (Cai et al., 2009), and integer linear programming (ILP) or genetic-algorithm formulations that maximise global coverage subject to angular constraints (Han et al., 2010). Greedy heuristics are fast but produce demonstrably sub-optimal joint assignments; ILP is exact but scales poorly past a few dozen sensors, and meta-heuristics such as genetic algorithms or particle-swarm optimisation (Yarinezhad et al., 2020) sit between the two with no clear time-quality guarantee. All of these approaches require either full global state or strong inter-sensor communication, which is exactly the assumption that learning-based DSN coverage tries to relax.</w:t>
      </w:r>
    </w:p>
    <w:p>
      <w:pPr>
        <w:pStyle w:val="Heading2"/>
        <w:spacing w:after="120" w:before="240"/>
      </w:pPr>
      <w:r>
        <w:rPr>
          <w:rFonts w:ascii="Times New Roman" w:cs="Times New Roman" w:eastAsia="Times New Roman" w:hAnsi="Times New Roman"/>
          <w:b/>
          <w:bCs/>
          <w:sz w:val="26"/>
          <w:szCs w:val="26"/>
        </w:rPr>
        <w:t xml:space="preserve">2.2 Cooperative MARL under CTDE</w:t>
      </w:r>
    </w:p>
    <w:p>
      <w:pPr>
        <w:spacing w:after="120" w:line="300"/>
        <w:jc w:val="both"/>
      </w:pPr>
      <w:r>
        <w:rPr>
          <w:rFonts w:ascii="Times New Roman" w:cs="Times New Roman" w:eastAsia="Times New Roman" w:hAnsi="Times New Roman"/>
          <w:b w:val="false"/>
          <w:bCs w:val="false"/>
          <w:i w:val="false"/>
          <w:iCs w:val="false"/>
          <w:sz w:val="22"/>
          <w:szCs w:val="22"/>
        </w:rPr>
        <w:t xml:space="preserve">Cooperative MARL with partial observability has converged on the centralised-training-with-decentralised-execution (CTDE) paradigm: agents share information freely during training but each acts from its own local observation at execution time. The seminal CTDE actor-critic method is COMA (Foerster et al., 2018), which uses a counterfactual baseline to assign credit across agents. Independent Q-learning (IQL; Tan, 1993) is the simplest baseline but ignores non-stationarity caused by other learners and is known to be unstable in cooperative settings.</w:t>
      </w:r>
    </w:p>
    <w:p>
      <w:pPr>
        <w:spacing w:after="120" w:line="300"/>
        <w:jc w:val="both"/>
      </w:pPr>
      <w:r>
        <w:rPr>
          <w:rFonts w:ascii="Times New Roman" w:cs="Times New Roman" w:eastAsia="Times New Roman" w:hAnsi="Times New Roman"/>
          <w:b w:val="false"/>
          <w:bCs w:val="false"/>
          <w:i w:val="false"/>
          <w:iCs w:val="false"/>
          <w:sz w:val="22"/>
          <w:szCs w:val="22"/>
        </w:rPr>
        <w:t xml:space="preserve">The value-decomposition family addresses credit assignment by factoring the joint Q-function into per-agent components that can be arg-maxed locally. VDN (Sunehag et al., 2018) uses a simple additive decomposition; QMIX (Rashid et al., 2018) generalises to a monotonic mixing network conditioned on the global state; QTRAN (Son et al., 2019) drops the monotonicity restriction at the cost of additional constraints, and QPLEX (Wang et al., 2021) recasts the mixer as a duplex dueling architecture with a softer notion of monotonicity. Closely related are credit-assignment methods that use Shapley values (Shapley, 1953) as a principled per-agent contribution estimate, including SQDDPG (Wang et al., 2020) in the actor-critic setting and SHAQ in the value-based setting. NA²Q (Liu, Zhu, &amp; Chen, 2023), the algorithm we evaluate, extends this line by replacing the opaque mixer with an attention-weighted additive shape-function ensemble whose weights approximate Shapley values, giving the method per-agent interpretability while preserving the Individual–Global–Max property required for decentralised arg-max.</w:t>
      </w:r>
    </w:p>
    <w:p>
      <w:pPr>
        <w:spacing w:after="120" w:line="300"/>
        <w:jc w:val="both"/>
      </w:pPr>
      <w:r>
        <w:rPr>
          <w:rFonts w:ascii="Times New Roman" w:cs="Times New Roman" w:eastAsia="Times New Roman" w:hAnsi="Times New Roman"/>
          <w:b w:val="false"/>
          <w:bCs w:val="false"/>
          <w:i w:val="false"/>
          <w:iCs w:val="false"/>
          <w:sz w:val="22"/>
          <w:szCs w:val="22"/>
        </w:rPr>
        <w:t xml:space="preserve">Policy-gradient CTDE methods include MADDPG (Lowe et al., 2017) for continuous actions, MAPPO (Yu et al., 2022) which adapts PPO with a centralised critic, and hierarchical variants in which a high-level controller decomposes a complex task into sub-goals for low-level executors. Hierarchical methods are particularly natural for DSN coverage because the problem decomposes into an assignment step (which sensor watches which target) and a low-level rotation step. HiT-MAC (Xu, Zhong, &amp; Wang, 2020) is the reference work in this category for DSNs specifically: it pairs a coordinator that periodically assigns targets to sensors with per-sensor A3C executors (Mnih et al., 2016) that turn the sensor toward its assigned target. The coordinator is trained with a marginal-contribution approximation; the executor uses a goal-conditional observation filter and a self-attention encoder (Vaswani et al., 2017) so the same network handles arbitrary numbers of targets without re-training.</w:t>
      </w:r>
    </w:p>
    <w:p>
      <w:pPr>
        <w:pStyle w:val="Heading2"/>
        <w:spacing w:after="120" w:before="240"/>
      </w:pPr>
      <w:r>
        <w:rPr>
          <w:rFonts w:ascii="Times New Roman" w:cs="Times New Roman" w:eastAsia="Times New Roman" w:hAnsi="Times New Roman"/>
          <w:b/>
          <w:bCs/>
          <w:sz w:val="26"/>
          <w:szCs w:val="26"/>
        </w:rPr>
        <w:t xml:space="preserve">2.3 Benchmarks and asynchronous training</w:t>
      </w:r>
    </w:p>
    <w:p>
      <w:pPr>
        <w:spacing w:after="120" w:line="300"/>
        <w:jc w:val="both"/>
      </w:pPr>
      <w:r>
        <w:rPr>
          <w:rFonts w:ascii="Times New Roman" w:cs="Times New Roman" w:eastAsia="Times New Roman" w:hAnsi="Times New Roman"/>
          <w:b w:val="false"/>
          <w:bCs w:val="false"/>
          <w:i w:val="false"/>
          <w:iCs w:val="false"/>
          <w:sz w:val="22"/>
          <w:szCs w:val="22"/>
        </w:rPr>
        <w:t xml:space="preserve">Most cooperative MARL papers report results on either the StarCraft Multi-Agent Challenge (SMAC; Samvelyan et al., 2019), Level-Based Foraging (LBF; Papoudakis et al., 2021), or one-off domain-specific simulators. SMAC and LBF are useful because they expose a stable interface across algorithms, but they do not capture the DSN-specific geometry — angular fields of view, fixed sensor positions, and a coverage reward — that we evaluate here. The DSN coverage benchmark released with HiT-MAC (Xu et al., 2020) is the closest community benchmark, and it is the basis of our environment implementation.</w:t>
      </w:r>
    </w:p>
    <w:p>
      <w:pPr>
        <w:spacing w:after="120" w:line="300"/>
        <w:jc w:val="both"/>
      </w:pPr>
      <w:r>
        <w:rPr>
          <w:rFonts w:ascii="Times New Roman" w:cs="Times New Roman" w:eastAsia="Times New Roman" w:hAnsi="Times New Roman"/>
          <w:b w:val="false"/>
          <w:bCs w:val="false"/>
          <w:i w:val="false"/>
          <w:iCs w:val="false"/>
          <w:sz w:val="22"/>
          <w:szCs w:val="22"/>
        </w:rPr>
        <w:t xml:space="preserve">A3C-style asynchronous training (Mnih et al., 2016) underlies the HiT-MAC executor and is well known to be susceptible to shared-memory race conditions: multiple workers writing gradients to a single shared network can occasionally produce policy collapses (Mnih et al., 2016; Williams &amp; Peng, 1991). The failure mode we observe on one HiT-MAC seed in §6.3 is consistent with this literature. Standard mitigations include increased entropy regularisation (Williams &amp; Peng, 1991), per-worker gradient clipping (Pascanu et al., 2013), and switching to synchronous A2C-style updates (Mnih et al., 2016).</w:t>
      </w:r>
    </w:p>
    <w:p>
      <w:pPr>
        <w:pStyle w:val="Heading2"/>
        <w:spacing w:after="120" w:before="240"/>
      </w:pPr>
      <w:r>
        <w:rPr>
          <w:rFonts w:ascii="Times New Roman" w:cs="Times New Roman" w:eastAsia="Times New Roman" w:hAnsi="Times New Roman"/>
          <w:b/>
          <w:bCs/>
          <w:sz w:val="26"/>
          <w:szCs w:val="26"/>
        </w:rPr>
        <w:t xml:space="preserve">2.4 Scope of this report</w:t>
      </w:r>
    </w:p>
    <w:p>
      <w:pPr>
        <w:spacing w:after="120" w:line="300"/>
        <w:jc w:val="both"/>
      </w:pPr>
      <w:r>
        <w:rPr>
          <w:rFonts w:ascii="Times New Roman" w:cs="Times New Roman" w:eastAsia="Times New Roman" w:hAnsi="Times New Roman"/>
          <w:b w:val="false"/>
          <w:bCs w:val="false"/>
          <w:i w:val="false"/>
          <w:iCs w:val="false"/>
          <w:sz w:val="22"/>
          <w:szCs w:val="22"/>
        </w:rPr>
        <w:t xml:space="preserve">Compared with the works above, this report is empirical and comparative rather than algorithmic. We do not propose a new MARL method, a new mixer, or a new training rule. Both NA²Q and HiT-MAC are used through their public reference implementations (Liu, 2023; Xu, 2020) with two kinds of changes only: (i) hyper-parameter adjustments — number of training episodes, chunk length, ε-decay schedule for NA²Q on Scenario 1, and worker count for HiT-MAC — chosen so that each method completes in a few GPU-hours on our hardware, and (ii) interface adaptations that route the shared observation, action, and reward interface defined in §3 to the two algorithms’ networks without modifying the algorithmic core (mixer, hyper-network, attention, A3C update rule). Concrete values are listed in §4 and §5.</w:t>
      </w:r>
    </w:p>
    <w:p>
      <w:pPr>
        <w:pStyle w:val="Heading1"/>
        <w:spacing w:after="160" w:before="320"/>
      </w:pPr>
      <w:r>
        <w:rPr>
          <w:rFonts w:ascii="Times New Roman" w:cs="Times New Roman" w:eastAsia="Times New Roman" w:hAnsi="Times New Roman"/>
          <w:b/>
          <w:bCs/>
          <w:sz w:val="30"/>
          <w:szCs w:val="30"/>
        </w:rPr>
        <w:t xml:space="preserve">3. Problem Formulation</w:t>
      </w:r>
    </w:p>
    <w:p>
      <w:pPr>
        <w:spacing w:after="120" w:line="300"/>
        <w:jc w:val="both"/>
      </w:pPr>
      <w:r>
        <w:rPr>
          <w:rFonts w:ascii="Times New Roman" w:cs="Times New Roman" w:eastAsia="Times New Roman" w:hAnsi="Times New Roman"/>
          <w:b w:val="false"/>
          <w:bCs w:val="false"/>
          <w:i w:val="false"/>
          <w:iCs w:val="false"/>
          <w:sz w:val="22"/>
          <w:szCs w:val="22"/>
        </w:rPr>
        <w:t xml:space="preserve">The environment, adapted from the HiT-MAC reference implementation (Xu et al., 2020), is a 2-D grid of size G×G containing N sensors and M targets. Each sensor has a position, a heading, and a sensing cone of fixed angular width and bounded range (Guvensan &amp; Yavuz, 2011). Targets follow a stochastic motion model that is independent of the sensors. At every step each sensor selects one of three discrete actions — TurnLeft, Stay, TurnRight — which rotate its heading by a fixed angular increment Δφ:</w:t>
      </w:r>
    </w:p>
    <w:p>
      <w:pPr>
        <w:spacing w:after="100" w:before="100"/>
        <w:jc w:val="center"/>
      </w:pPr>
      <w:r>
        <w:rPr>
          <w:rFonts w:ascii="Cambria Math" w:cs="Cambria Math" w:eastAsia="Cambria Math" w:hAnsi="Cambria Math"/>
          <w:sz w:val="20"/>
          <w:szCs w:val="20"/>
        </w:rPr>
        <w:t xml:space="preserve">a_i ∈ { −Δφ , 0 , +Δφ } ,    Δφ = 5°   </w:t>
      </w:r>
      <w:r>
        <w:rPr>
          <w:rFonts w:ascii="Times New Roman" w:cs="Times New Roman" w:eastAsia="Times New Roman" w:hAnsi="Times New Roman"/>
          <w:sz w:val="20"/>
          <w:szCs w:val="20"/>
        </w:rPr>
        <w:t xml:space="preserve">(1)</w:t>
      </w:r>
    </w:p>
    <w:p>
      <w:pPr>
        <w:spacing w:after="120" w:line="300"/>
        <w:jc w:val="both"/>
      </w:pPr>
      <w:r>
        <w:rPr>
          <w:rFonts w:ascii="Times New Roman" w:cs="Times New Roman" w:eastAsia="Times New Roman" w:hAnsi="Times New Roman"/>
          <w:b w:val="false"/>
          <w:bCs w:val="false"/>
          <w:i w:val="false"/>
          <w:iCs w:val="false"/>
          <w:sz w:val="22"/>
          <w:szCs w:val="22"/>
        </w:rPr>
        <w:t xml:space="preserve">After all sensors act, the environment evaluates which targets are inside any sensor’s cone; a target T_j counts as covered when at least one sensor sees it, formalised by the indicator</w:t>
      </w:r>
    </w:p>
    <w:p>
      <w:pPr>
        <w:spacing w:after="100" w:before="100"/>
        <w:jc w:val="center"/>
      </w:pPr>
      <w:r>
        <w:rPr>
          <w:rFonts w:ascii="Cambria Math" w:cs="Cambria Math" w:eastAsia="Cambria Math" w:hAnsi="Cambria Math"/>
          <w:sz w:val="20"/>
          <w:szCs w:val="20"/>
        </w:rPr>
        <w:t xml:space="preserve">c_j(s)  =  𝟙[ ∃ i  s.t.  T_j ∈ cone(S_i) ]   </w:t>
      </w:r>
      <w:r>
        <w:rPr>
          <w:rFonts w:ascii="Times New Roman" w:cs="Times New Roman" w:eastAsia="Times New Roman" w:hAnsi="Times New Roman"/>
          <w:sz w:val="20"/>
          <w:szCs w:val="20"/>
        </w:rPr>
        <w:t xml:space="preserve">(2)</w:t>
      </w:r>
    </w:p>
    <w:p>
      <w:pPr>
        <w:spacing w:after="120" w:line="300"/>
        <w:jc w:val="both"/>
      </w:pPr>
      <w:r>
        <w:rPr>
          <w:rFonts w:ascii="Times New Roman" w:cs="Times New Roman" w:eastAsia="Times New Roman" w:hAnsi="Times New Roman"/>
          <w:b w:val="false"/>
          <w:bCs w:val="false"/>
          <w:i w:val="false"/>
          <w:iCs w:val="false"/>
          <w:sz w:val="22"/>
          <w:szCs w:val="22"/>
        </w:rPr>
        <w:t xml:space="preserve">The team reward at step t is the coverage rate plus a small angle-centering bonus that rewards sensors for keeping observed targets near the centre of their cone (which makes coverage more robust to small target motions on the next step):</w:t>
      </w:r>
    </w:p>
    <w:p>
      <w:pPr>
        <w:spacing w:after="100" w:before="100"/>
        <w:jc w:val="center"/>
      </w:pPr>
      <w:r>
        <w:rPr>
          <w:rFonts w:ascii="Cambria Math" w:cs="Cambria Math" w:eastAsia="Cambria Math" w:hAnsi="Cambria Math"/>
          <w:sz w:val="20"/>
          <w:szCs w:val="20"/>
        </w:rPr>
        <w:t xml:space="preserve">r_t  =  (1 / M) · Σ_j  c_j(s_t)   +   λ · Σ_j  c_j(s_t) · cos(θ_ij)   </w:t>
      </w:r>
      <w:r>
        <w:rPr>
          <w:rFonts w:ascii="Times New Roman" w:cs="Times New Roman" w:eastAsia="Times New Roman" w:hAnsi="Times New Roman"/>
          <w:sz w:val="20"/>
          <w:szCs w:val="20"/>
        </w:rPr>
        <w:t xml:space="preserve">(3)</w:t>
      </w:r>
    </w:p>
    <w:p>
      <w:pPr>
        <w:spacing w:after="120" w:line="300"/>
        <w:jc w:val="both"/>
      </w:pPr>
      <w:r>
        <w:rPr>
          <w:rFonts w:ascii="Times New Roman" w:cs="Times New Roman" w:eastAsia="Times New Roman" w:hAnsi="Times New Roman"/>
          <w:b w:val="false"/>
          <w:bCs w:val="false"/>
          <w:i w:val="false"/>
          <w:iCs w:val="false"/>
          <w:sz w:val="22"/>
          <w:szCs w:val="22"/>
        </w:rPr>
        <w:t xml:space="preserve">where θ_ij is the angle between the heading of the sensor that covers target j and the line from that sensor to the target, and λ is a small positive shaping coefficient. The geometry is illustrated in Figure 3 below.</w:t>
      </w:r>
    </w:p>
    <w:p>
      <w:pPr>
        <w:spacing w:after="120" w:line="300"/>
        <w:jc w:val="both"/>
      </w:pPr>
      <w:r>
        <w:rPr>
          <w:rFonts w:ascii="Times New Roman" w:cs="Times New Roman" w:eastAsia="Times New Roman" w:hAnsi="Times New Roman"/>
          <w:b w:val="false"/>
          <w:bCs w:val="false"/>
          <w:i w:val="false"/>
          <w:iCs w:val="false"/>
          <w:sz w:val="22"/>
          <w:szCs w:val="22"/>
        </w:rPr>
        <w:t xml:space="preserve">In the project codebase the dynamics described above are implemented inside DSNEnv.step in environments/environment.py. Listing 1 reproduces the inner loop in pseudocode for reference; each line corresponds to one stage in the description above and to a specific equation in this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88888" w:sz="6"/>
              <w:left w:val="none" w:color="FFFFFF" w:sz="0"/>
              <w:bottom w:val="single" w:color="888888" w:sz="6"/>
              <w:right w:val="none" w:color="FFFFFF" w:sz="0"/>
            </w:tcBorders>
            <w:tcMar>
              <w:top w:type="dxa" w:w="160"/>
              <w:left w:type="dxa" w:w="220"/>
              <w:bottom w:type="dxa" w:w="160"/>
              <w:right w:type="dxa" w:w="220"/>
            </w:tcMar>
          </w:tcPr>
          <w:p>
            <w:pPr>
              <w:spacing w:after="0" w:line="260"/>
              <w:jc w:val="left"/>
            </w:pPr>
            <w:r>
              <w:rPr>
                <w:rFonts w:ascii="Consolas" w:cs="Consolas" w:eastAsia="Consolas" w:hAnsi="Consolas"/>
                <w:color w:val="202020"/>
                <w:sz w:val="19"/>
                <w:szCs w:val="19"/>
              </w:rPr>
              <w:t xml:space="preserve">def step(self, actions):</w:t>
            </w:r>
          </w:p>
          <w:p>
            <w:pPr>
              <w:spacing w:after="0" w:line="260"/>
              <w:jc w:val="left"/>
            </w:pPr>
            <w:r>
              <w:rPr>
                <w:rFonts w:ascii="Consolas" w:cs="Consolas" w:eastAsia="Consolas" w:hAnsi="Consolas"/>
                <w:color w:val="202020"/>
                <w:sz w:val="19"/>
                <w:szCs w:val="19"/>
              </w:rPr>
              <w:t xml:space="preserve">    rotation       = rotate_from_action(actions)</w:t>
            </w:r>
          </w:p>
          <w:p>
            <w:pPr>
              <w:spacing w:after="0" w:line="260"/>
              <w:jc w:val="left"/>
            </w:pPr>
            <w:r>
              <w:rPr>
                <w:rFonts w:ascii="Consolas" w:cs="Consolas" w:eastAsia="Consolas" w:hAnsi="Consolas"/>
                <w:color w:val="202020"/>
                <w:sz w:val="19"/>
                <w:szCs w:val="19"/>
              </w:rPr>
              <w:t xml:space="preserve">    sensor_angles  = (sensor_angles + rotation) mod 2π</w:t>
            </w:r>
          </w:p>
          <w:p>
            <w:pPr>
              <w:spacing w:after="0" w:line="260"/>
              <w:jc w:val="left"/>
            </w:pPr>
            <w:r>
              <w:rPr>
                <w:rFonts w:ascii="Consolas" w:cs="Consolas" w:eastAsia="Consolas" w:hAnsi="Consolas"/>
                <w:color w:val="202020"/>
                <w:sz w:val="19"/>
                <w:szCs w:val="19"/>
              </w:rPr>
              <w:t xml:space="preserve">    move_targets()</w:t>
            </w:r>
          </w:p>
          <w:p>
            <w:pPr>
              <w:spacing w:after="0" w:line="260"/>
              <w:jc w:val="left"/>
            </w:pPr>
            <w:r>
              <w:rPr>
                <w:rFonts w:ascii="Consolas" w:cs="Consolas" w:eastAsia="Consolas" w:hAnsi="Consolas"/>
                <w:color w:val="202020"/>
                <w:sz w:val="19"/>
                <w:szCs w:val="19"/>
              </w:rPr>
              <w:t xml:space="preserve">    goal_map       = compute_coverage_indicator()       # Eq. (2)</w:t>
            </w:r>
          </w:p>
          <w:p>
            <w:pPr>
              <w:spacing w:after="0" w:line="260"/>
              <w:jc w:val="left"/>
            </w:pPr>
            <w:r>
              <w:rPr>
                <w:rFonts w:ascii="Consolas" w:cs="Consolas" w:eastAsia="Consolas" w:hAnsi="Consolas"/>
                <w:color w:val="202020"/>
                <w:sz w:val="19"/>
                <w:szCs w:val="19"/>
              </w:rPr>
              <w:t xml:space="preserve">    reward         = coverage_rate + λ · centering_bonus # Eq. (3)</w:t>
            </w:r>
          </w:p>
          <w:p>
            <w:pPr>
              <w:spacing w:after="0" w:line="260"/>
              <w:jc w:val="left"/>
            </w:pPr>
            <w:r>
              <w:rPr>
                <w:rFonts w:ascii="Consolas" w:cs="Consolas" w:eastAsia="Consolas" w:hAnsi="Consolas"/>
                <w:color w:val="202020"/>
                <w:sz w:val="19"/>
                <w:szCs w:val="19"/>
              </w:rPr>
              <w:t xml:space="preserve">    return observations, reward, info</w:t>
            </w:r>
          </w:p>
        </w:tc>
      </w:tr>
    </w:tbl>
    <w:p>
      <w:pPr>
        <w:spacing w:after="200" w:before="80"/>
        <w:jc w:val="center"/>
      </w:pPr>
      <w:r>
        <w:rPr>
          <w:rFonts w:ascii="Times New Roman" w:cs="Times New Roman" w:eastAsia="Times New Roman" w:hAnsi="Times New Roman"/>
          <w:i/>
          <w:iCs/>
          <w:sz w:val="20"/>
          <w:szCs w:val="20"/>
        </w:rPr>
        <w:t xml:space="preserve">Listing 1. Inner loop of DSNEnv.step (pseudocode adapted from environments/environment.py). Action set: Equation (1); coverage indicator: Equation (2); shaped team reward: Equation (3).</w:t>
      </w:r>
    </w:p>
    <w:p>
      <w:pPr>
        <w:spacing w:after="120" w:line="300"/>
        <w:jc w:val="both"/>
      </w:pPr>
      <w:r>
        <w:rPr>
          <w:rFonts w:ascii="Times New Roman" w:cs="Times New Roman" w:eastAsia="Times New Roman" w:hAnsi="Times New Roman"/>
          <w:b w:val="false"/>
          <w:bCs w:val="false"/>
          <w:i w:val="false"/>
          <w:iCs w:val="false"/>
          <w:sz w:val="22"/>
          <w:szCs w:val="22"/>
        </w:rPr>
        <w:t xml:space="preserve">Each sensor’s observation is a per-target embedding of length 4 — [sensor_id, target_id, normalised distance, normalised relative angle] — concatenated across all M targets. This is the same observation format for both algorithms. We use two scenarios:</w:t>
      </w:r>
    </w:p>
    <w:p>
      <w:pPr>
        <w:pStyle w:val="ListParagraph"/>
        <w:numPr>
          <w:ilvl w:val="0"/>
          <w:numId w:val="2"/>
        </w:numPr>
        <w:spacing w:after="80" w:line="280"/>
      </w:pPr>
      <w:r>
        <w:rPr>
          <w:rFonts w:ascii="Times New Roman" w:cs="Times New Roman" w:eastAsia="Times New Roman" w:hAnsi="Times New Roman"/>
          <w:sz w:val="22"/>
          <w:szCs w:val="22"/>
        </w:rPr>
        <w:t xml:space="preserve">Scenario 1 (small): N = 5 sensors, M = 6 targets, G = 3. Designed for fast iteration and multi-seed statistics.</w:t>
      </w:r>
    </w:p>
    <w:p>
      <w:pPr>
        <w:pStyle w:val="ListParagraph"/>
        <w:numPr>
          <w:ilvl w:val="0"/>
          <w:numId w:val="2"/>
        </w:numPr>
        <w:spacing w:after="80" w:line="280"/>
      </w:pPr>
      <w:r>
        <w:rPr>
          <w:rFonts w:ascii="Times New Roman" w:cs="Times New Roman" w:eastAsia="Times New Roman" w:hAnsi="Times New Roman"/>
          <w:sz w:val="22"/>
          <w:szCs w:val="22"/>
        </w:rPr>
        <w:t xml:space="preserve">Scenario 2 (large): N = 50 sensors, M = 60 targets, G = 10. Designed to test scalability; both algorithms trained for a single seed at this scale due to compute cost.</w:t>
      </w:r>
    </w:p>
    <w:p>
      <w:pPr>
        <w:spacing w:after="120" w:line="300"/>
        <w:jc w:val="both"/>
      </w:pPr>
      <w:r>
        <w:rPr>
          <w:rFonts w:ascii="Times New Roman" w:cs="Times New Roman" w:eastAsia="Times New Roman" w:hAnsi="Times New Roman"/>
          <w:b w:val="false"/>
          <w:bCs w:val="false"/>
          <w:i w:val="false"/>
          <w:iCs w:val="false"/>
          <w:sz w:val="22"/>
          <w:szCs w:val="22"/>
        </w:rPr>
        <w:t xml:space="preserve">Two non-learning baselines are reported in every figure. The Random baseline samples a uniform heading at every step. The Greedy baseline solves a Hungarian assignment (Kuhn, 1955) of sensors to nearest uncovered targets at every step using full state information; it is an oracle that cheats on observability and serves as an approximate upper bound on what any local policy can achieve through coordination alone. Concretely it solves</w:t>
      </w:r>
    </w:p>
    <w:p>
      <w:pPr>
        <w:spacing w:after="100" w:before="100"/>
        <w:jc w:val="center"/>
      </w:pPr>
      <w:r>
        <w:rPr>
          <w:rFonts w:ascii="Cambria Math" w:cs="Cambria Math" w:eastAsia="Cambria Math" w:hAnsi="Cambria Math"/>
          <w:sz w:val="20"/>
          <w:szCs w:val="20"/>
        </w:rPr>
        <w:t xml:space="preserve">π_greedy(s)  =  arg min_{X ∈ {0,1}^{N×M}}  Σ_i Σ_j  X_ij · d(S_i, T_j)   s.t.  Σ_j X_ij = 1 ,  Σ_i X_ij ≤ 1   </w:t>
      </w:r>
      <w:r>
        <w:rPr>
          <w:rFonts w:ascii="Times New Roman" w:cs="Times New Roman" w:eastAsia="Times New Roman" w:hAnsi="Times New Roman"/>
          <w:sz w:val="20"/>
          <w:szCs w:val="20"/>
        </w:rPr>
        <w:t xml:space="preserve">(4)</w:t>
      </w:r>
    </w:p>
    <w:p>
      <w:pPr>
        <w:spacing w:after="120" w:line="300"/>
        <w:jc w:val="both"/>
      </w:pPr>
      <w:r>
        <w:rPr>
          <w:rFonts w:ascii="Times New Roman" w:cs="Times New Roman" w:eastAsia="Times New Roman" w:hAnsi="Times New Roman"/>
          <w:b w:val="false"/>
          <w:bCs w:val="false"/>
          <w:i w:val="false"/>
          <w:iCs w:val="false"/>
          <w:sz w:val="22"/>
          <w:szCs w:val="22"/>
        </w:rPr>
        <w:t xml:space="preserve">and then turns each sensor toward its assigned target. Solved with the standard O(N³) Hungarian algorithm (Kuhn, 1955) on the full sensor-target distance matrix at every step.</w:t>
      </w:r>
    </w:p>
    <w:p>
      <w:pPr>
        <w:spacing w:after="120" w:line="300"/>
        <w:jc w:val="both"/>
      </w:pPr>
      <w:r>
        <w:rPr>
          <w:rFonts w:ascii="Times New Roman" w:cs="Times New Roman" w:eastAsia="Times New Roman" w:hAnsi="Times New Roman"/>
          <w:b w:val="false"/>
          <w:bCs w:val="false"/>
          <w:i w:val="false"/>
          <w:iCs w:val="false"/>
          <w:sz w:val="22"/>
          <w:szCs w:val="22"/>
        </w:rPr>
        <w:t xml:space="preserve">Figure 1 zooms in on a single sensor. Each sensor has a fixed-width angular cone (90° field of view in our scenarios), a finite sensing range (18 grid units in Scenario 1, 28 in Scenario 2), a current heading, and a discrete action set of three options that rotate the heading by ±5° per step or leave it unchanged. Targets enter and leave the cone as either party moves; a target is "covered" the moment it falls inside any sensor’s cone. The simplicity of the per-step action — three options per agent — is what makes the coordination problem hard: nothing about the immediate decision tells an agent whether its rotation will overlap a neighbour’s cone or open up a gap somewhere else on the grid.</w:t>
      </w:r>
    </w:p>
    <w:p>
      <w:pPr>
        <w:spacing w:after="60" w:before="160"/>
        <w:jc w:val="center"/>
      </w:pPr>
      <w:r>
        <w:drawing>
          <wp:inline distT="0" distB="0" distL="0" distR="0">
            <wp:extent cx="4381500" cy="2933700"/>
            <wp:effectExtent t="0" r="0" b="0" l="0"/>
            <wp:docPr id="1" name="fig11_sensor_anatomy.png" descr="fig11_sensor_anatomy.png" title="fig11_sensor_anatom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933700"/>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20"/>
          <w:szCs w:val="20"/>
        </w:rPr>
        <w:t xml:space="preserve">Figure 1. Anatomy of a single directional sensor. The sensor occupies a fixed position; only its heading changes from step to step via a three-action discrete policy. Targets inside the current cone count as covered; the dashed cones show the alternative coverage patterns for the two rotation actions.</w:t>
      </w:r>
    </w:p>
    <w:p>
      <w:pPr>
        <w:spacing w:after="120" w:line="300"/>
        <w:jc w:val="both"/>
      </w:pPr>
      <w:r>
        <w:rPr>
          <w:rFonts w:ascii="Times New Roman" w:cs="Times New Roman" w:eastAsia="Times New Roman" w:hAnsi="Times New Roman"/>
          <w:b w:val="false"/>
          <w:bCs w:val="false"/>
          <w:i w:val="false"/>
          <w:iCs w:val="false"/>
          <w:sz w:val="22"/>
          <w:szCs w:val="22"/>
        </w:rPr>
        <w:t xml:space="preserve">Figure 2 shows the two scenarios used in this study, drawn to relative scale. Scenario 1 is sparse: five sensors and six targets in a 60×60-unit world (3×3 cells of 20 units each). Cones rarely overlap, and a competent assignment can often see every target simultaneously, which is why the greedy oracle reaches 61% rather than 100% — the 39% gap is targets that randomly drift between cones during the step. Scenario 2 packs fifty sensors and sixty targets into a 200×200 world; cones overlap heavily, sensors often have multiple plausible targets in view, and individual coverage decisions interact at much longer range. The visual contrast makes the scaling regime change concrete: Scenario 2 is not just "more agents", it is a qualitatively denser coordination problem.</w:t>
      </w:r>
    </w:p>
    <w:p>
      <w:pPr>
        <w:spacing w:after="60" w:before="160"/>
        <w:jc w:val="center"/>
      </w:pPr>
      <w:r>
        <w:drawing>
          <wp:inline distT="0" distB="0" distL="0" distR="0">
            <wp:extent cx="5715000" cy="2809875"/>
            <wp:effectExtent t="0" r="0" b="0" l="0"/>
            <wp:docPr id="1" name="fig12_scenarios.png" descr="fig12_scenarios.png" title="fig12_scenari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809875"/>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20"/>
          <w:szCs w:val="20"/>
        </w:rPr>
        <w:t xml:space="preserve">Figure 2. The two evaluation scenarios drawn to relative scale. Left: Scenario 1 (5 sensors, 6 targets, 3×3 grid). Right: Scenario 2 (50 sensors, 60 targets, 10×10 grid). Cone overlap and target density grow sharply between the two settings.</w:t>
      </w:r>
    </w:p>
    <w:p>
      <w:pPr>
        <w:spacing w:after="120" w:line="300"/>
        <w:jc w:val="both"/>
      </w:pPr>
      <w:r>
        <w:rPr>
          <w:rFonts w:ascii="Times New Roman" w:cs="Times New Roman" w:eastAsia="Times New Roman" w:hAnsi="Times New Roman"/>
          <w:b w:val="false"/>
          <w:bCs w:val="false"/>
          <w:i w:val="false"/>
          <w:iCs w:val="false"/>
          <w:sz w:val="22"/>
          <w:szCs w:val="22"/>
        </w:rPr>
        <w:t xml:space="preserve">Figure 3 illustrates the angle-centering bonus introduced above. T_a sits in the centre of the cone (cos θ ≈ 1, large bonus), T_b is still inside but off-axis (smaller bonus), and T_c falls outside the cone and contributes nothing — coverage and the bonus are both zero for it.</w:t>
      </w:r>
    </w:p>
    <w:p>
      <w:pPr>
        <w:spacing w:after="60" w:before="160"/>
        <w:jc w:val="center"/>
      </w:pPr>
      <w:r>
        <w:drawing>
          <wp:inline distT="0" distB="0" distL="0" distR="0">
            <wp:extent cx="4381500" cy="2190750"/>
            <wp:effectExtent t="0" r="0" b="0" l="0"/>
            <wp:docPr id="1" name="fig16_reward_shaping.png" descr="fig16_reward_shaping.png" title="fig16_reward_shap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190750"/>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20"/>
          <w:szCs w:val="20"/>
        </w:rPr>
        <w:t xml:space="preserve">Figure 3. Per-target angle-centering reward bonus. Targets covered closer to the cone centreline contribute more to the shaped reward; targets outside the cone contribute zero.</w:t>
      </w:r>
    </w:p>
    <w:p>
      <w:pPr>
        <w:pStyle w:val="Heading1"/>
        <w:spacing w:after="160" w:before="320"/>
      </w:pPr>
      <w:r>
        <w:rPr>
          <w:rFonts w:ascii="Times New Roman" w:cs="Times New Roman" w:eastAsia="Times New Roman" w:hAnsi="Times New Roman"/>
          <w:b/>
          <w:bCs/>
          <w:sz w:val="30"/>
          <w:szCs w:val="30"/>
        </w:rPr>
        <w:t xml:space="preserve">4. Methods</w:t>
      </w:r>
    </w:p>
    <w:p>
      <w:pPr>
        <w:pStyle w:val="Heading2"/>
        <w:spacing w:after="120" w:before="240"/>
      </w:pPr>
      <w:r>
        <w:rPr>
          <w:rFonts w:ascii="Times New Roman" w:cs="Times New Roman" w:eastAsia="Times New Roman" w:hAnsi="Times New Roman"/>
          <w:b/>
          <w:bCs/>
          <w:sz w:val="26"/>
          <w:szCs w:val="26"/>
        </w:rPr>
        <w:t xml:space="preserve">4.1 NA²Q</w:t>
      </w:r>
    </w:p>
    <w:p>
      <w:pPr>
        <w:spacing w:after="120" w:line="300"/>
        <w:jc w:val="both"/>
      </w:pPr>
      <w:r>
        <w:rPr>
          <w:rFonts w:ascii="Times New Roman" w:cs="Times New Roman" w:eastAsia="Times New Roman" w:hAnsi="Times New Roman"/>
          <w:b w:val="false"/>
          <w:bCs w:val="false"/>
          <w:i w:val="false"/>
          <w:iCs w:val="false"/>
          <w:sz w:val="22"/>
          <w:szCs w:val="22"/>
        </w:rPr>
        <w:t xml:space="preserve">NA²Q (Liu et al., 2023) is a value-decomposition method built around three ideas. First, each agent i has a local Q-network (Mnih et al., 2015) that consumes its observation o_i and emits a per-action Q-value Q_i(o_i, a_i). Second, a centralised mixer combines the per-agent Q-values into a joint team Q-value via an attention-weighted additive shape-function ensemble whose weights are produced by a hyper-network (Ha et al., 2017) conditioned on the global state s:</w:t>
      </w:r>
    </w:p>
    <w:p>
      <w:pPr>
        <w:spacing w:after="100" w:before="100"/>
        <w:jc w:val="center"/>
      </w:pPr>
      <w:r>
        <w:rPr>
          <w:rFonts w:ascii="Cambria Math" w:cs="Cambria Math" w:eastAsia="Cambria Math" w:hAnsi="Cambria Math"/>
          <w:sz w:val="20"/>
          <w:szCs w:val="20"/>
        </w:rPr>
        <w:t xml:space="preserve">Q_tot(s, a)  =  Σ_i  α_i(s) · Q_i(o_i, a_i)  +  V(s)   </w:t>
      </w:r>
      <w:r>
        <w:rPr>
          <w:rFonts w:ascii="Times New Roman" w:cs="Times New Roman" w:eastAsia="Times New Roman" w:hAnsi="Times New Roman"/>
          <w:sz w:val="20"/>
          <w:szCs w:val="20"/>
        </w:rPr>
        <w:t xml:space="preserve">(5)</w:t>
      </w:r>
    </w:p>
    <w:p>
      <w:pPr>
        <w:spacing w:after="120" w:line="300"/>
        <w:jc w:val="both"/>
      </w:pPr>
      <w:r>
        <w:rPr>
          <w:rFonts w:ascii="Times New Roman" w:cs="Times New Roman" w:eastAsia="Times New Roman" w:hAnsi="Times New Roman"/>
          <w:b w:val="false"/>
          <w:bCs w:val="false"/>
          <w:i w:val="false"/>
          <w:iCs w:val="false"/>
          <w:sz w:val="22"/>
          <w:szCs w:val="22"/>
        </w:rPr>
        <w:t xml:space="preserve">The per-agent attention weights α_i(s) approximate the Shapley value (Shapley, 1953) of agent i in the team — i.e. its expected marginal contribution to coverage if its action were marginalised out. Because the mixer is monotone in each Q_i, NA²Q preserves the Individual–Global–Max property (Wang et al., 2021):</w:t>
      </w:r>
    </w:p>
    <w:p>
      <w:pPr>
        <w:spacing w:after="100" w:before="100"/>
        <w:jc w:val="center"/>
      </w:pPr>
      <w:r>
        <w:rPr>
          <w:rFonts w:ascii="Cambria Math" w:cs="Cambria Math" w:eastAsia="Cambria Math" w:hAnsi="Cambria Math"/>
          <w:sz w:val="20"/>
          <w:szCs w:val="20"/>
        </w:rPr>
        <w:t xml:space="preserve">arg max_{a_1, …, a_N}  Q_tot(s, a)   =   ( arg max_{a_1} Q_1(o_1, a_1) , … , arg max_{a_N} Q_N(o_N, a_N) )   </w:t>
      </w:r>
      <w:r>
        <w:rPr>
          <w:rFonts w:ascii="Times New Roman" w:cs="Times New Roman" w:eastAsia="Times New Roman" w:hAnsi="Times New Roman"/>
          <w:sz w:val="20"/>
          <w:szCs w:val="20"/>
        </w:rPr>
        <w:t xml:space="preserve">(6)</w:t>
      </w:r>
    </w:p>
    <w:p>
      <w:pPr>
        <w:spacing w:after="120" w:line="300"/>
        <w:jc w:val="both"/>
      </w:pPr>
      <w:r>
        <w:rPr>
          <w:rFonts w:ascii="Times New Roman" w:cs="Times New Roman" w:eastAsia="Times New Roman" w:hAnsi="Times New Roman"/>
          <w:b w:val="false"/>
          <w:bCs w:val="false"/>
          <w:i w:val="false"/>
          <w:iCs w:val="false"/>
          <w:sz w:val="22"/>
          <w:szCs w:val="22"/>
        </w:rPr>
        <w:t xml:space="preserve">so each agent can pick its action by a local arg-max at execution time. Training is standard Q-learning (Mnih et al., 2015) on the team Bellman target with experience replay and ε-greedy exploration:</w:t>
      </w:r>
    </w:p>
    <w:p>
      <w:pPr>
        <w:spacing w:after="100" w:before="100"/>
        <w:jc w:val="center"/>
      </w:pPr>
      <w:r>
        <w:rPr>
          <w:rFonts w:ascii="Cambria Math" w:cs="Cambria Math" w:eastAsia="Cambria Math" w:hAnsi="Cambria Math"/>
          <w:sz w:val="20"/>
          <w:szCs w:val="20"/>
        </w:rPr>
        <w:t xml:space="preserve">𝓛(θ)  =  𝔼_(s,a,r,s′)~D  [ ( r  +  γ · max_{a′} Q_tot(s′, a′; θ⁻)  −  Q_tot(s, a; θ) )² ]   </w:t>
      </w:r>
      <w:r>
        <w:rPr>
          <w:rFonts w:ascii="Times New Roman" w:cs="Times New Roman" w:eastAsia="Times New Roman" w:hAnsi="Times New Roman"/>
          <w:sz w:val="20"/>
          <w:szCs w:val="20"/>
        </w:rPr>
        <w:t xml:space="preserve">(7)</w:t>
      </w:r>
    </w:p>
    <w:p>
      <w:pPr>
        <w:spacing w:after="120" w:line="300"/>
        <w:jc w:val="both"/>
      </w:pPr>
      <w:r>
        <w:rPr>
          <w:rFonts w:ascii="Times New Roman" w:cs="Times New Roman" w:eastAsia="Times New Roman" w:hAnsi="Times New Roman"/>
          <w:b w:val="false"/>
          <w:bCs w:val="false"/>
          <w:i w:val="false"/>
          <w:iCs w:val="false"/>
          <w:sz w:val="22"/>
          <w:szCs w:val="22"/>
        </w:rPr>
        <w:t xml:space="preserve">Epsilon decays linearly from 1.0 to 0.05 over the first 5,000 episodes (Figure 5). Training uses 25,000 episodes with chunk length 10 on a single GPU.</w:t>
      </w:r>
    </w:p>
    <w:p>
      <w:pPr>
        <w:spacing w:after="60" w:before="160"/>
        <w:jc w:val="center"/>
      </w:pPr>
      <w:r>
        <w:drawing>
          <wp:inline distT="0" distB="0" distL="0" distR="0">
            <wp:extent cx="4762500" cy="2286000"/>
            <wp:effectExtent t="0" r="0" b="0" l="0"/>
            <wp:docPr id="1" name="fig14_eps_schedule.png" descr="fig14_eps_schedule.png" title="fig14_eps_schedu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286000"/>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20"/>
          <w:szCs w:val="20"/>
        </w:rPr>
        <w:t xml:space="preserve">Figure 5. NA²Q exploration schedule. ε decays linearly from 1.0 to 0.05 over 5,000 episodes, then stays at 0.05 for the remaining 20,000 — long enough to keep some randomness while the policy is exploited.</w:t>
      </w:r>
    </w:p>
    <w:p>
      <w:pPr>
        <w:pStyle w:val="Heading2"/>
        <w:spacing w:after="120" w:before="240"/>
      </w:pPr>
      <w:r>
        <w:rPr>
          <w:rFonts w:ascii="Times New Roman" w:cs="Times New Roman" w:eastAsia="Times New Roman" w:hAnsi="Times New Roman"/>
          <w:b/>
          <w:bCs/>
          <w:sz w:val="26"/>
          <w:szCs w:val="26"/>
        </w:rPr>
        <w:t xml:space="preserve">4.2 HiT-MAC</w:t>
      </w:r>
    </w:p>
    <w:p>
      <w:pPr>
        <w:spacing w:after="120" w:line="300"/>
        <w:jc w:val="both"/>
      </w:pPr>
      <w:r>
        <w:rPr>
          <w:rFonts w:ascii="Times New Roman" w:cs="Times New Roman" w:eastAsia="Times New Roman" w:hAnsi="Times New Roman"/>
          <w:b w:val="false"/>
          <w:bCs w:val="false"/>
          <w:i w:val="false"/>
          <w:iCs w:val="false"/>
          <w:sz w:val="22"/>
          <w:szCs w:val="22"/>
        </w:rPr>
        <w:t xml:space="preserve">HiT-MAC (Xu et al., 2020) is a hierarchical actor-critic method. A coordinator π_c(s) periodically assigns each sensor to a target; per-sensor executors π_e(o_i, goal_i) then run an A3C policy (Mnih et al., 2016) that turns each sensor toward its assigned target. Figure 6 illustrates the flow on a 3-sensor / 3-target slice.</w:t>
      </w:r>
    </w:p>
    <w:p>
      <w:pPr>
        <w:spacing w:after="60" w:before="160"/>
        <w:jc w:val="center"/>
      </w:pPr>
      <w:r>
        <w:drawing>
          <wp:inline distT="0" distB="0" distL="0" distR="0">
            <wp:extent cx="5143500" cy="3048000"/>
            <wp:effectExtent t="0" r="0" b="0" l="0"/>
            <wp:docPr id="1" name="fig15_hitmac_flow.png" descr="fig15_hitmac_flow.png" title="fig15_hitmac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3048000"/>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20"/>
          <w:szCs w:val="20"/>
        </w:rPr>
        <w:t xml:space="preserve">Figure 6. HiT-MAC two-level architecture. The coordinator emits per-sensor assignments S_i → T_j; each executor receives its goal and selects a heading-rotation action. The shared coverage reward updates both levels.</w:t>
      </w:r>
    </w:p>
    <w:p>
      <w:pPr>
        <w:spacing w:after="120" w:line="300"/>
        <w:jc w:val="both"/>
      </w:pPr>
      <w:r>
        <w:rPr>
          <w:rFonts w:ascii="Times New Roman" w:cs="Times New Roman" w:eastAsia="Times New Roman" w:hAnsi="Times New Roman"/>
          <w:b w:val="false"/>
          <w:bCs w:val="false"/>
          <w:i w:val="false"/>
          <w:iCs w:val="false"/>
          <w:sz w:val="22"/>
          <w:szCs w:val="22"/>
        </w:rPr>
        <w:t xml:space="preserve">The executor is trained with the standard A3C policy gradient (Mnih et al., 2016), augmented with an entropy bonus (Williams &amp; Peng, 1991) that keeps the policy from collapsing to a deterministic action:</w:t>
      </w:r>
    </w:p>
    <w:p>
      <w:pPr>
        <w:spacing w:after="100" w:before="100"/>
        <w:jc w:val="center"/>
      </w:pPr>
      <w:r>
        <w:rPr>
          <w:rFonts w:ascii="Cambria Math" w:cs="Cambria Math" w:eastAsia="Cambria Math" w:hAnsi="Cambria Math"/>
          <w:sz w:val="20"/>
          <w:szCs w:val="20"/>
        </w:rPr>
        <w:t xml:space="preserve">∇_θ 𝓛_e  =  𝔼  [ ∇_θ log π_e(a_i | o_i, goal_i ; θ) · A(s, a)  +  β · ∇_θ ℋ( π_e(· | o_i, goal_i ; θ) ) ]   </w:t>
      </w:r>
      <w:r>
        <w:rPr>
          <w:rFonts w:ascii="Times New Roman" w:cs="Times New Roman" w:eastAsia="Times New Roman" w:hAnsi="Times New Roman"/>
          <w:sz w:val="20"/>
          <w:szCs w:val="20"/>
        </w:rPr>
        <w:t xml:space="preserve">(8)</w:t>
      </w:r>
    </w:p>
    <w:p>
      <w:pPr>
        <w:spacing w:after="120" w:line="300"/>
        <w:jc w:val="both"/>
      </w:pPr>
      <w:r>
        <w:rPr>
          <w:rFonts w:ascii="Times New Roman" w:cs="Times New Roman" w:eastAsia="Times New Roman" w:hAnsi="Times New Roman"/>
          <w:b w:val="false"/>
          <w:bCs w:val="false"/>
          <w:i w:val="false"/>
          <w:iCs w:val="false"/>
          <w:sz w:val="22"/>
          <w:szCs w:val="22"/>
        </w:rPr>
        <w:t xml:space="preserve">where A(s, a) = R − V(s) is the advantage estimated by the executor’s value head, ℋ is the policy entropy, and β = 0.01 is the default coefficient. The coordinator is trained with a marginal-contribution approximation that scores each potential assignment by the change in expected return when it is added or removed:</w:t>
      </w:r>
    </w:p>
    <w:p>
      <w:pPr>
        <w:spacing w:after="100" w:before="100"/>
        <w:jc w:val="center"/>
      </w:pPr>
      <w:r>
        <w:rPr>
          <w:rFonts w:ascii="Cambria Math" w:cs="Cambria Math" w:eastAsia="Cambria Math" w:hAnsi="Cambria Math"/>
          <w:sz w:val="20"/>
          <w:szCs w:val="20"/>
        </w:rPr>
        <w:t xml:space="preserve">Δ_i(s, X)  ≈  V_e(s | X)  −  V_e(s | X \ {S_i → T_j})   </w:t>
      </w:r>
      <w:r>
        <w:rPr>
          <w:rFonts w:ascii="Times New Roman" w:cs="Times New Roman" w:eastAsia="Times New Roman" w:hAnsi="Times New Roman"/>
          <w:sz w:val="20"/>
          <w:szCs w:val="20"/>
        </w:rPr>
        <w:t xml:space="preserve">(9)</w:t>
      </w:r>
    </w:p>
    <w:p>
      <w:pPr>
        <w:spacing w:after="120" w:line="300"/>
        <w:jc w:val="both"/>
      </w:pPr>
      <w:r>
        <w:rPr>
          <w:rFonts w:ascii="Times New Roman" w:cs="Times New Roman" w:eastAsia="Times New Roman" w:hAnsi="Times New Roman"/>
          <w:b w:val="false"/>
          <w:bCs w:val="false"/>
          <w:i w:val="false"/>
          <w:iCs w:val="false"/>
          <w:sz w:val="22"/>
          <w:szCs w:val="22"/>
        </w:rPr>
        <w:t xml:space="preserve">so that an assignment X is preferred when each sensor’s contribution Δ_i is large. Both levels use a self-attention encoder (Vaswani et al., 2017) over targets so that the same network handles arbitrary numbers of targets without re-training. We use the public single-phase training setup with 8 parallel A3C workers, γ = 0.99, and the default entropy coefficient β = 0.01. Training runs for ~50,000 episodes per seed in Scenario 1. The implementation reuses the same observation interface as NA²Q, so the only difference between runs is the algorithm.</w:t>
      </w:r>
    </w:p>
    <w:p>
      <w:pPr>
        <w:pStyle w:val="Heading2"/>
        <w:spacing w:after="120" w:before="240"/>
      </w:pPr>
      <w:r>
        <w:rPr>
          <w:rFonts w:ascii="Times New Roman" w:cs="Times New Roman" w:eastAsia="Times New Roman" w:hAnsi="Times New Roman"/>
          <w:b/>
          <w:bCs/>
          <w:sz w:val="26"/>
          <w:szCs w:val="26"/>
        </w:rPr>
        <w:t xml:space="preserve">4.3 Architectural comparison</w:t>
      </w:r>
    </w:p>
    <w:p>
      <w:pPr>
        <w:spacing w:after="120" w:line="300"/>
        <w:jc w:val="both"/>
      </w:pPr>
      <w:r>
        <w:rPr>
          <w:rFonts w:ascii="Times New Roman" w:cs="Times New Roman" w:eastAsia="Times New Roman" w:hAnsi="Times New Roman"/>
          <w:b w:val="false"/>
          <w:bCs w:val="false"/>
          <w:i w:val="false"/>
          <w:iCs w:val="false"/>
          <w:sz w:val="22"/>
          <w:szCs w:val="22"/>
        </w:rPr>
        <w:t xml:space="preserve">Figure 7 contrasts the two pipelines side-by-side. NA²Q produces a per-agent Q-value from each local observation and combines them through an attention-weighted additive mixer conditioned on the global state; the resulting joint Q decomposes monotonically by construction (Rashid et al., 2018), which lets each agent take a decentralised arg-max at execution time. HiT-MAC instead pushes the global state through a coordinator that emits per-sensor target assignments, and only then hands control to a per-sensor A3C executor (Mnih et al., 2016) that resolves the heading. The two structures are not strict substitutes: the additive mixer scales linearly in agents but offers no explicit sub-goal mechanism, while the hierarchical assignment is more interpretable in DSN terms but adds a coordination layer that must itself be trained.</w:t>
      </w:r>
    </w:p>
    <w:p>
      <w:pPr>
        <w:spacing w:after="60" w:before="160"/>
        <w:jc w:val="center"/>
      </w:pPr>
      <w:r>
        <w:drawing>
          <wp:inline distT="0" distB="0" distL="0" distR="0">
            <wp:extent cx="5715000" cy="2400300"/>
            <wp:effectExtent t="0" r="0" b="0" l="0"/>
            <wp:docPr id="1" name="fig9_architectures.png" descr="fig9_architectures.png" title="fig9_architectur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400300"/>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20"/>
          <w:szCs w:val="20"/>
        </w:rPr>
        <w:t xml:space="preserve">Figure 7. Architectural comparison. Left: NA²Q centralised mixer over per-agent Q-functions. Right: HiT-MAC coordinator–executor hierarchy.</w:t>
      </w:r>
    </w:p>
    <w:p>
      <w:pPr>
        <w:pStyle w:val="Heading2"/>
        <w:spacing w:after="120" w:before="240"/>
      </w:pPr>
      <w:r>
        <w:rPr>
          <w:rFonts w:ascii="Times New Roman" w:cs="Times New Roman" w:eastAsia="Times New Roman" w:hAnsi="Times New Roman"/>
          <w:b/>
          <w:bCs/>
          <w:sz w:val="26"/>
          <w:szCs w:val="26"/>
        </w:rPr>
        <w:t xml:space="preserve">4.4 Evaluation protocol</w:t>
      </w:r>
    </w:p>
    <w:p>
      <w:pPr>
        <w:spacing w:after="120" w:line="300"/>
        <w:jc w:val="both"/>
      </w:pPr>
      <w:r>
        <w:rPr>
          <w:rFonts w:ascii="Times New Roman" w:cs="Times New Roman" w:eastAsia="Times New Roman" w:hAnsi="Times New Roman"/>
          <w:b w:val="false"/>
          <w:bCs w:val="false"/>
          <w:i w:val="false"/>
          <w:iCs w:val="false"/>
          <w:sz w:val="22"/>
          <w:szCs w:val="22"/>
        </w:rPr>
        <w:t xml:space="preserve">We report two summary statistics from the per-episode coverage trace. The peak smoothed coverage is the maximum of a 500-episode rolling mean over the entire training run; it captures the best stable performance the policy reaches. The final-window coverage is the mean of the last 500 raw episodes; it captures end-of-training behaviour, including any post-peak drift. Random and Greedy baselines are evaluated for 300 episodes each at the start of training and held fixed across all algorithms in the same scenario.</w:t>
      </w:r>
    </w:p>
    <w:p>
      <w:pPr>
        <w:pStyle w:val="Heading1"/>
        <w:spacing w:after="160" w:before="320"/>
      </w:pPr>
      <w:r>
        <w:rPr>
          <w:rFonts w:ascii="Times New Roman" w:cs="Times New Roman" w:eastAsia="Times New Roman" w:hAnsi="Times New Roman"/>
          <w:b/>
          <w:bCs/>
          <w:sz w:val="30"/>
          <w:szCs w:val="30"/>
        </w:rPr>
        <w:t xml:space="preserve">5. Experimental Setup</w:t>
      </w:r>
    </w:p>
    <w:p>
      <w:pPr>
        <w:spacing w:after="120" w:line="300"/>
        <w:jc w:val="both"/>
      </w:pPr>
      <w:r>
        <w:rPr>
          <w:rFonts w:ascii="Times New Roman" w:cs="Times New Roman" w:eastAsia="Times New Roman" w:hAnsi="Times New Roman"/>
          <w:b w:val="false"/>
          <w:bCs w:val="false"/>
          <w:i w:val="false"/>
          <w:iCs w:val="false"/>
          <w:sz w:val="22"/>
          <w:szCs w:val="22"/>
        </w:rPr>
        <w:t xml:space="preserve">Both algorithms are run on the same git revision of the codebase. Hyper-parameters are the public defaults shipped with each algorithm, with one Scenario-1 retune on the NA²Q side: episodes were reduced from 50,000 to 25,000, chunk length from 25 to 10, and epsilon decay from 7,500 to 5,000 episodes — these changes were made to fit a single GPU run within a few hours and were validated to converge to the same plateau as the longer CPU configuration. HiT-MAC was trained with the original 50,000-episode budget per seed.</w:t>
      </w:r>
    </w:p>
    <w:p>
      <w:pPr>
        <w:spacing w:after="120" w:line="300"/>
        <w:jc w:val="both"/>
      </w:pPr>
      <w:r>
        <w:rPr>
          <w:rFonts w:ascii="Times New Roman" w:cs="Times New Roman" w:eastAsia="Times New Roman" w:hAnsi="Times New Roman"/>
          <w:b w:val="false"/>
          <w:bCs w:val="false"/>
          <w:i w:val="false"/>
          <w:iCs w:val="false"/>
          <w:sz w:val="22"/>
          <w:szCs w:val="22"/>
        </w:rPr>
        <w:t xml:space="preserve">Scenario 1 is run for 5 random seeds per algorithm. Scenario 2 is run for a single seed per algorithm; we explicitly note that this provides a point estimate without statistical significance. NA²Q on Scenario 2 completes in roughly 93 minutes of wall-clock time on a single GPU for ~5,000 training episodes — comparable to HiT-MAC, which runs about 93 minutes for the same episode budget at the larger scale. The previously-anticipated multi-day cost projection turned out to be pessimistic in practice: NA²Q’s per-episode cost still grows with the number of agents, but the 5,000-episode Scenario-2 budget is short enough that the run fits in the same training window as HiT-MAC. Aggregated mean and standard deviation across seeds are computed over the per-episode coverage rate and then smoothed with the same 500-episode rolling mean used for plotting. All training was performed on a single NVIDIA-class GPU; NA²Q on a CPU instance was observed to take ~17 hours per seed even on Scenario 1 and is not recommended.</w:t>
      </w:r>
    </w:p>
    <w:p>
      <w:pPr>
        <w:spacing w:after="120" w:line="300"/>
        <w:jc w:val="both"/>
      </w:pPr>
      <w:r>
        <w:rPr>
          <w:rFonts w:ascii="Times New Roman" w:cs="Times New Roman" w:eastAsia="Times New Roman" w:hAnsi="Times New Roman"/>
          <w:b w:val="false"/>
          <w:bCs w:val="false"/>
          <w:i w:val="false"/>
          <w:iCs w:val="false"/>
          <w:sz w:val="22"/>
          <w:szCs w:val="22"/>
        </w:rPr>
        <w:t xml:space="preserve">Table 1 summarises the two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999999" w:sz="4"/>
              <w:left w:val="single" w:color="999999" w:sz="4"/>
              <w:bottom w:val="single" w:color="999999" w:sz="4"/>
              <w:right w:val="single" w:color="999999" w:sz="4"/>
            </w:tcBorders>
            <w:shd w:fill="E6EEF5" w:val="clear"/>
            <w:tcMar>
              <w:top w:type="dxa" w:w="80"/>
              <w:left w:type="dxa" w:w="120"/>
              <w:bottom w:type="dxa" w:w="80"/>
              <w:right w:type="dxa" w:w="120"/>
            </w:tcMar>
          </w:tcPr>
          <w:p>
            <w:pPr>
              <w:jc w:val="center"/>
            </w:pPr>
            <w:r>
              <w:rPr>
                <w:rFonts w:ascii="Times New Roman" w:cs="Times New Roman" w:eastAsia="Times New Roman" w:hAnsi="Times New Roman"/>
                <w:b/>
                <w:bCs/>
                <w:sz w:val="21"/>
                <w:szCs w:val="21"/>
              </w:rPr>
              <w:t xml:space="preserve">Property</w:t>
            </w:r>
          </w:p>
        </w:tc>
        <w:tc>
          <w:tcPr>
            <w:tcW w:type="dxa" w:w="3180"/>
            <w:tcBorders>
              <w:top w:val="single" w:color="999999" w:sz="4"/>
              <w:left w:val="single" w:color="999999" w:sz="4"/>
              <w:bottom w:val="single" w:color="999999" w:sz="4"/>
              <w:right w:val="single" w:color="999999" w:sz="4"/>
            </w:tcBorders>
            <w:shd w:fill="E6EEF5" w:val="clear"/>
            <w:tcMar>
              <w:top w:type="dxa" w:w="80"/>
              <w:left w:type="dxa" w:w="120"/>
              <w:bottom w:type="dxa" w:w="80"/>
              <w:right w:type="dxa" w:w="120"/>
            </w:tcMar>
          </w:tcPr>
          <w:p>
            <w:pPr>
              <w:jc w:val="center"/>
            </w:pPr>
            <w:r>
              <w:rPr>
                <w:rFonts w:ascii="Times New Roman" w:cs="Times New Roman" w:eastAsia="Times New Roman" w:hAnsi="Times New Roman"/>
                <w:b/>
                <w:bCs/>
                <w:sz w:val="21"/>
                <w:szCs w:val="21"/>
              </w:rPr>
              <w:t xml:space="preserve">Scenario 1</w:t>
            </w:r>
          </w:p>
        </w:tc>
        <w:tc>
          <w:tcPr>
            <w:tcW w:type="dxa" w:w="3180"/>
            <w:tcBorders>
              <w:top w:val="single" w:color="999999" w:sz="4"/>
              <w:left w:val="single" w:color="999999" w:sz="4"/>
              <w:bottom w:val="single" w:color="999999" w:sz="4"/>
              <w:right w:val="single" w:color="999999" w:sz="4"/>
            </w:tcBorders>
            <w:shd w:fill="E6EEF5" w:val="clear"/>
            <w:tcMar>
              <w:top w:type="dxa" w:w="80"/>
              <w:left w:type="dxa" w:w="120"/>
              <w:bottom w:type="dxa" w:w="80"/>
              <w:right w:type="dxa" w:w="120"/>
            </w:tcMar>
          </w:tcPr>
          <w:p>
            <w:pPr>
              <w:jc w:val="center"/>
            </w:pPr>
            <w:r>
              <w:rPr>
                <w:rFonts w:ascii="Times New Roman" w:cs="Times New Roman" w:eastAsia="Times New Roman" w:hAnsi="Times New Roman"/>
                <w:b/>
                <w:bCs/>
                <w:sz w:val="21"/>
                <w:szCs w:val="21"/>
              </w:rPr>
              <w:t xml:space="preserve">Scenario 2</w:t>
            </w:r>
          </w:p>
        </w:tc>
      </w:tr>
      <w:tr>
        <w:trPr>
          <w:tblHeader w:val="false"/>
        </w:trP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1"/>
                <w:szCs w:val="21"/>
              </w:rPr>
              <w:t xml:space="preserve">Sensors (N)</w:t>
            </w:r>
          </w:p>
        </w:tc>
        <w:tc>
          <w:tcPr>
            <w:tcW w:type="dxa" w:w="31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1"/>
                <w:szCs w:val="21"/>
              </w:rPr>
              <w:t xml:space="preserve">5</w:t>
            </w:r>
          </w:p>
        </w:tc>
        <w:tc>
          <w:tcPr>
            <w:tcW w:type="dxa" w:w="31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1"/>
                <w:szCs w:val="21"/>
              </w:rPr>
              <w:t xml:space="preserve">50</w:t>
            </w:r>
          </w:p>
        </w:tc>
      </w:tr>
      <w:tr>
        <w:trPr>
          <w:tblHeader w:val="false"/>
        </w:trP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1"/>
                <w:szCs w:val="21"/>
              </w:rPr>
              <w:t xml:space="preserve">Targets (M)</w:t>
            </w:r>
          </w:p>
        </w:tc>
        <w:tc>
          <w:tcPr>
            <w:tcW w:type="dxa" w:w="31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1"/>
                <w:szCs w:val="21"/>
              </w:rPr>
              <w:t xml:space="preserve">6</w:t>
            </w:r>
          </w:p>
        </w:tc>
        <w:tc>
          <w:tcPr>
            <w:tcW w:type="dxa" w:w="31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1"/>
                <w:szCs w:val="21"/>
              </w:rPr>
              <w:t xml:space="preserve">60</w:t>
            </w:r>
          </w:p>
        </w:tc>
      </w:tr>
      <w:tr>
        <w:trPr>
          <w:tblHeader w:val="false"/>
        </w:trP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1"/>
                <w:szCs w:val="21"/>
              </w:rPr>
              <w:t xml:space="preserve">Grid size (G×G)</w:t>
            </w:r>
          </w:p>
        </w:tc>
        <w:tc>
          <w:tcPr>
            <w:tcW w:type="dxa" w:w="31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1"/>
                <w:szCs w:val="21"/>
              </w:rPr>
              <w:t xml:space="preserve">3×3</w:t>
            </w:r>
          </w:p>
        </w:tc>
        <w:tc>
          <w:tcPr>
            <w:tcW w:type="dxa" w:w="31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1"/>
                <w:szCs w:val="21"/>
              </w:rPr>
              <w:t xml:space="preserve">10×10</w:t>
            </w:r>
          </w:p>
        </w:tc>
      </w:tr>
      <w:tr>
        <w:trPr>
          <w:tblHeader w:val="false"/>
        </w:trP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1"/>
                <w:szCs w:val="21"/>
              </w:rPr>
              <w:t xml:space="preserve">Seeds per algorithm</w:t>
            </w:r>
          </w:p>
        </w:tc>
        <w:tc>
          <w:tcPr>
            <w:tcW w:type="dxa" w:w="31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1"/>
                <w:szCs w:val="21"/>
              </w:rPr>
              <w:t xml:space="preserve">5</w:t>
            </w:r>
          </w:p>
        </w:tc>
        <w:tc>
          <w:tcPr>
            <w:tcW w:type="dxa" w:w="31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1"/>
                <w:szCs w:val="21"/>
              </w:rPr>
              <w:t xml:space="preserve">1</w:t>
            </w:r>
          </w:p>
        </w:tc>
      </w:tr>
      <w:tr>
        <w:trPr>
          <w:tblHeader w:val="false"/>
        </w:trP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1"/>
                <w:szCs w:val="21"/>
              </w:rPr>
              <w:t xml:space="preserve">Random baseline</w:t>
            </w:r>
          </w:p>
        </w:tc>
        <w:tc>
          <w:tcPr>
            <w:tcW w:type="dxa" w:w="31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1"/>
                <w:szCs w:val="21"/>
              </w:rPr>
              <w:t xml:space="preserve">32.3%</w:t>
            </w:r>
          </w:p>
        </w:tc>
        <w:tc>
          <w:tcPr>
            <w:tcW w:type="dxa" w:w="31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1"/>
                <w:szCs w:val="21"/>
              </w:rPr>
              <w:t xml:space="preserve">56.0%</w:t>
            </w:r>
          </w:p>
        </w:tc>
      </w:tr>
      <w:tr>
        <w:trPr>
          <w:tblHeader w:val="false"/>
        </w:trP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1"/>
                <w:szCs w:val="21"/>
              </w:rPr>
              <w:t xml:space="preserve">Greedy baseline</w:t>
            </w:r>
          </w:p>
        </w:tc>
        <w:tc>
          <w:tcPr>
            <w:tcW w:type="dxa" w:w="31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1"/>
                <w:szCs w:val="21"/>
              </w:rPr>
              <w:t xml:space="preserve">61.0%</w:t>
            </w:r>
          </w:p>
        </w:tc>
        <w:tc>
          <w:tcPr>
            <w:tcW w:type="dxa" w:w="31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1"/>
                <w:szCs w:val="21"/>
              </w:rPr>
              <w:t xml:space="preserve">80.1%</w:t>
            </w:r>
          </w:p>
        </w:tc>
      </w:tr>
    </w:tbl>
    <w:p>
      <w:pPr>
        <w:spacing w:after="200" w:before="80"/>
        <w:jc w:val="center"/>
      </w:pPr>
      <w:r>
        <w:rPr>
          <w:rFonts w:ascii="Times New Roman" w:cs="Times New Roman" w:eastAsia="Times New Roman" w:hAnsi="Times New Roman"/>
          <w:i/>
          <w:iCs/>
          <w:sz w:val="20"/>
          <w:szCs w:val="20"/>
        </w:rPr>
        <w:t xml:space="preserve">Table 1. Environment configuration and non-learning baselines.</w:t>
      </w:r>
    </w:p>
    <w:p>
      <w:pPr>
        <w:pStyle w:val="Heading1"/>
        <w:spacing w:after="160" w:before="320"/>
      </w:pPr>
      <w:r>
        <w:rPr>
          <w:rFonts w:ascii="Times New Roman" w:cs="Times New Roman" w:eastAsia="Times New Roman" w:hAnsi="Times New Roman"/>
          <w:b/>
          <w:bCs/>
          <w:sz w:val="30"/>
          <w:szCs w:val="30"/>
        </w:rPr>
        <w:t xml:space="preserve">6. Results</w:t>
      </w:r>
    </w:p>
    <w:p>
      <w:pPr>
        <w:pStyle w:val="Heading2"/>
        <w:spacing w:after="120" w:before="240"/>
      </w:pPr>
      <w:r>
        <w:rPr>
          <w:rFonts w:ascii="Times New Roman" w:cs="Times New Roman" w:eastAsia="Times New Roman" w:hAnsi="Times New Roman"/>
          <w:b/>
          <w:bCs/>
          <w:sz w:val="26"/>
          <w:szCs w:val="26"/>
        </w:rPr>
        <w:t xml:space="preserve">6.1 Scenario 1 — small DSN (5 sensors, 6 targets)</w:t>
      </w:r>
    </w:p>
    <w:p>
      <w:pPr>
        <w:spacing w:after="120" w:line="300"/>
        <w:jc w:val="both"/>
      </w:pPr>
      <w:r>
        <w:rPr>
          <w:rFonts w:ascii="Times New Roman" w:cs="Times New Roman" w:eastAsia="Times New Roman" w:hAnsi="Times New Roman"/>
          <w:b w:val="false"/>
          <w:bCs w:val="false"/>
          <w:i w:val="false"/>
          <w:iCs w:val="false"/>
          <w:sz w:val="22"/>
          <w:szCs w:val="22"/>
        </w:rPr>
        <w:t xml:space="preserve">Figure 8 shows the smoothed coverage curves for both algorithms together with the Random and Greedy baselines. HiT-MAC rises rapidly during the first ~1,500 episodes and stabilises in a band around 52–58%; the wide standard-deviation envelope reflects per-seed variability that is dominated by a single collapsed seed (discussed in §6.3). NA²Q rises more slowly and overshoots HiT-MAC briefly between episodes ~5,000 and ~7,000, peaking at a 500-episode mean of 59.6% — essentially matching the greedy baseline. After this peak NA²Q drifts down and oscillates in the 48–55% band for the remainder of training; the final-window coverage is 51.6%.</w:t>
      </w:r>
    </w:p>
    <w:p>
      <w:pPr>
        <w:spacing w:after="60" w:before="160"/>
        <w:jc w:val="center"/>
      </w:pPr>
      <w:r>
        <w:drawing>
          <wp:inline distT="0" distB="0" distL="0" distR="0">
            <wp:extent cx="5143500" cy="3048000"/>
            <wp:effectExtent t="0" r="0" b="0" l="0"/>
            <wp:docPr id="1" name="fig1_scenario1_curves.png" descr="fig1_scenario1_curves.png" title="fig1_scenario1_curv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3048000"/>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20"/>
          <w:szCs w:val="20"/>
        </w:rPr>
        <w:t xml:space="preserve">Figure 8. Scenario 1 coverage learning curves. NA²Q (1 seed) reaches a brief peak near the greedy baseline before drifting; HiT-MAC (5 seeds, mean ± SD) plateaus more flatly. Smoothing window: 500 episodes.</w:t>
      </w:r>
    </w:p>
    <w:p>
      <w:pPr>
        <w:spacing w:after="120" w:line="300"/>
        <w:jc w:val="both"/>
      </w:pPr>
      <w:r>
        <w:rPr>
          <w:rFonts w:ascii="Times New Roman" w:cs="Times New Roman" w:eastAsia="Times New Roman" w:hAnsi="Times New Roman"/>
          <w:b w:val="false"/>
          <w:bCs w:val="false"/>
          <w:i w:val="false"/>
          <w:iCs w:val="false"/>
          <w:sz w:val="22"/>
          <w:szCs w:val="22"/>
        </w:rPr>
        <w:t xml:space="preserve">The reward curves in Figure 9 are useful as a diagnostic. The two algorithms use different reward shaping (NA²Q uses the angle-centering bonus more aggressively), so absolute reward magnitudes are not directly comparable; the qualitative shapes are. Both reward signals stabilise on the same time-scale as their coverage curves, confirming that learning has converged rather than that coverage is being traded for a different objective.</w:t>
      </w:r>
    </w:p>
    <w:p>
      <w:pPr>
        <w:spacing w:after="60" w:before="160"/>
        <w:jc w:val="center"/>
      </w:pPr>
      <w:r>
        <w:drawing>
          <wp:inline distT="0" distB="0" distL="0" distR="0">
            <wp:extent cx="5143500" cy="2857500"/>
            <wp:effectExtent t="0" r="0" b="0" l="0"/>
            <wp:docPr id="1" name="fig5_reward_curves.png" descr="fig5_reward_curves.png" title="fig5_reward_curv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2857500"/>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20"/>
          <w:szCs w:val="20"/>
        </w:rPr>
        <w:t xml:space="preserve">Figure 9. Scenario 1 episode-reward curves. Reward magnitudes differ by reward-shaping convention, so compare shape (rise time, plateau stability) rather than absolute level.</w:t>
      </w:r>
    </w:p>
    <w:p>
      <w:pPr>
        <w:spacing w:after="120" w:line="300"/>
        <w:jc w:val="both"/>
      </w:pPr>
      <w:r>
        <w:rPr>
          <w:rFonts w:ascii="Times New Roman" w:cs="Times New Roman" w:eastAsia="Times New Roman" w:hAnsi="Times New Roman"/>
          <w:b w:val="false"/>
          <w:bCs w:val="false"/>
          <w:i w:val="false"/>
          <w:iCs w:val="false"/>
          <w:sz w:val="22"/>
          <w:szCs w:val="22"/>
        </w:rPr>
        <w:t xml:space="preserve">Figure 10 plots the internal optimisation signal for each algorithm. NA²Q’s Bellman/TD loss (left) drops sharply for the first ~2,500 episodes, hits its minimum near the moment when coverage peaks, and then drifts upwards as the replay buffer accumulates increasingly diverse transitions — a classic non-stationarity-of-targets signature in off-policy MARL. HiT-MAC’s coordinator marginal-contribution signal (right) climbs steadily through the first ~20,000 episodes and then settles around 0.7–0.75, indicating that the assignment layer is learning to identify which sensor-target pairs matter most. The two diagnostics are not strictly comparable in scale but they tell the same story as the coverage curves.</w:t>
      </w:r>
    </w:p>
    <w:p>
      <w:pPr>
        <w:spacing w:after="60" w:before="160"/>
        <w:jc w:val="center"/>
      </w:pPr>
      <w:r>
        <w:drawing>
          <wp:inline distT="0" distB="0" distL="0" distR="0">
            <wp:extent cx="5715000" cy="1981200"/>
            <wp:effectExtent t="0" r="0" b="0" l="0"/>
            <wp:docPr id="1" name="fig13_loss_curves.png" descr="fig13_loss_curves.png" title="fig13_loss_curv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1981200"/>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20"/>
          <w:szCs w:val="20"/>
        </w:rPr>
        <w:t xml:space="preserve">Figure 10. Internal optimisation signals. Left: NA²Q Q-learning Bellman/TD loss on log scale. Right: HiT-MAC coordinator marginal-contribution gain (smoothed, seed 0).</w:t>
      </w:r>
    </w:p>
    <w:p>
      <w:pPr>
        <w:spacing w:after="120" w:line="300"/>
        <w:jc w:val="both"/>
      </w:pPr>
      <w:r>
        <w:rPr>
          <w:rFonts w:ascii="Times New Roman" w:cs="Times New Roman" w:eastAsia="Times New Roman" w:hAnsi="Times New Roman"/>
          <w:b w:val="false"/>
          <w:bCs w:val="false"/>
          <w:i w:val="false"/>
          <w:iCs w:val="false"/>
          <w:sz w:val="22"/>
          <w:szCs w:val="22"/>
        </w:rPr>
        <w:t xml:space="preserve">Figure 11 quantifies sample efficiency by counting how many episodes each algorithm needs before its smoothed coverage first crosses common thresholds. HiT-MAC reaches the 40–50% range in roughly 600–1,500 episodes; NA²Q crosses the same thresholds about 4× later. Both methods reach the 55% level eventually, and only NA²Q briefly clears it convincingly. This explains the headline picture: HiT-MAC wins in the early-training regime, NA²Q wins at the peak, and they end the run at comparable levels.</w:t>
      </w:r>
    </w:p>
    <w:p>
      <w:pPr>
        <w:spacing w:after="60" w:before="160"/>
        <w:jc w:val="center"/>
      </w:pPr>
      <w:r>
        <w:drawing>
          <wp:inline distT="0" distB="0" distL="0" distR="0">
            <wp:extent cx="5143500" cy="2714625"/>
            <wp:effectExtent t="0" r="0" b="0" l="0"/>
            <wp:docPr id="1" name="fig6_sample_efficiency.png" descr="fig6_sample_efficiency.png" title="fig6_sample_efficienc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2714625"/>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20"/>
          <w:szCs w:val="20"/>
        </w:rPr>
        <w:t xml:space="preserve">Figure 11. Episodes required to first reach a smoothed coverage threshold. HiT-MAC is more sample-efficient at moderate thresholds; NA²Q is the only method that briefly crosses 55%.</w:t>
      </w:r>
    </w:p>
    <w:p>
      <w:pPr>
        <w:spacing w:after="120" w:line="300"/>
        <w:jc w:val="both"/>
      </w:pPr>
      <w:r>
        <w:rPr>
          <w:rFonts w:ascii="Times New Roman" w:cs="Times New Roman" w:eastAsia="Times New Roman" w:hAnsi="Times New Roman"/>
          <w:b w:val="false"/>
          <w:bCs w:val="false"/>
          <w:i w:val="false"/>
          <w:iCs w:val="false"/>
          <w:sz w:val="22"/>
          <w:szCs w:val="22"/>
        </w:rPr>
        <w:t xml:space="preserve">Figure 12 shows the distribution of per-episode coverage during the last 5,000 episodes of Scenario 1. Both distributions are mass-concentrated below the greedy oracle and well above the random baseline; HiT-MAC is slightly more peaked while NA²Q has a fatter right tail (consistent with its post-peak oscillation). Neither algorithm has substantial mass at the random level, indicating that the policies have learned a real coordination strategy rather than collapsing to single-action behaviour.</w:t>
      </w:r>
    </w:p>
    <w:p>
      <w:pPr>
        <w:spacing w:after="60" w:before="160"/>
        <w:jc w:val="center"/>
      </w:pPr>
      <w:r>
        <w:drawing>
          <wp:inline distT="0" distB="0" distL="0" distR="0">
            <wp:extent cx="5143500" cy="2571750"/>
            <wp:effectExtent t="0" r="0" b="0" l="0"/>
            <wp:docPr id="1" name="fig7_coverage_hist.png" descr="fig7_coverage_hist.png" title="fig7_coverage_h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43500" cy="2571750"/>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20"/>
          <w:szCs w:val="20"/>
        </w:rPr>
        <w:t xml:space="preserve">Figure 12. Late-training coverage distribution (last 5,000 episodes). Both algorithms are right-shifted from random; NA²Q has a fatter right tail.</w:t>
      </w:r>
    </w:p>
    <w:p>
      <w:pPr>
        <w:spacing w:after="120" w:line="300"/>
        <w:jc w:val="both"/>
      </w:pPr>
      <w:r>
        <w:rPr>
          <w:rFonts w:ascii="Times New Roman" w:cs="Times New Roman" w:eastAsia="Times New Roman" w:hAnsi="Times New Roman"/>
          <w:b w:val="false"/>
          <w:bCs w:val="false"/>
          <w:i w:val="false"/>
          <w:iCs w:val="false"/>
          <w:sz w:val="22"/>
          <w:szCs w:val="22"/>
        </w:rPr>
        <w:t xml:space="preserve">Figure 13 plots the same Scenario 1 curves against wall-clock time on a single GPU. NA²Q is the cheaper algorithm per step here — it completes 25,000 episodes in roughly 145 minutes, while HiT-MAC takes ~680 minutes for its 50,000-episode budget — but NA²Q’s slower per-episode learning means it does not finish faster on a coverage-vs-time basis until the very end of training.</w:t>
      </w:r>
    </w:p>
    <w:p>
      <w:pPr>
        <w:spacing w:after="60" w:before="160"/>
        <w:jc w:val="center"/>
      </w:pPr>
      <w:r>
        <w:drawing>
          <wp:inline distT="0" distB="0" distL="0" distR="0">
            <wp:extent cx="5143500" cy="2857500"/>
            <wp:effectExtent t="0" r="0" b="0" l="0"/>
            <wp:docPr id="1" name="fig10_wallclock.png" descr="fig10_wallclock.png" title="fig10_wallclo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43500" cy="2857500"/>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20"/>
          <w:szCs w:val="20"/>
        </w:rPr>
        <w:t xml:space="preserve">Figure 13. Coverage versus cumulative training time on a single GPU. NA²Q is cheaper per episode but converges to its peak only after ~80 minutes; HiT-MAC plateaus earlier in real time.</w:t>
      </w:r>
    </w:p>
    <w:p>
      <w:pPr>
        <w:spacing w:after="120" w:line="300"/>
        <w:jc w:val="both"/>
      </w:pPr>
      <w:r>
        <w:rPr>
          <w:rFonts w:ascii="Times New Roman" w:cs="Times New Roman" w:eastAsia="Times New Roman" w:hAnsi="Times New Roman"/>
          <w:b w:val="false"/>
          <w:bCs w:val="false"/>
          <w:i w:val="false"/>
          <w:iCs w:val="false"/>
          <w:sz w:val="22"/>
          <w:szCs w:val="22"/>
        </w:rPr>
        <w:t xml:space="preserve">Table 2 reports the headline numbers. Both algorithms roughly double the Random baseline (32.3%) and approach the Greedy oracle (61.0%); neither clearly exceeds it. Best smoothed coverage is essentially tied (~59.6% for both, though for HiT-MAC this is computed over the four non-collapsed seeds following the FINDINGS protocol). Final-window coverage favours HiT-MAC, which holds its plateau more steadily; NA²Q’s final value is depressed by post-peak oscillation rather than by failure to learn.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20"/>
        <w:gridCol w:w="2120"/>
        <w:gridCol w:w="2720"/>
      </w:tblGrid>
      <w:tr>
        <w:trPr>
          <w:tblHeader/>
        </w:trPr>
        <w:tc>
          <w:tcPr>
            <w:tcW w:type="dxa" w:w="2400"/>
            <w:tcBorders>
              <w:top w:val="single" w:color="999999" w:sz="4"/>
              <w:left w:val="single" w:color="999999" w:sz="4"/>
              <w:bottom w:val="single" w:color="999999" w:sz="4"/>
              <w:right w:val="single" w:color="999999" w:sz="4"/>
            </w:tcBorders>
            <w:shd w:fill="E6EEF5" w:val="clear"/>
            <w:tcMar>
              <w:top w:type="dxa" w:w="80"/>
              <w:left w:type="dxa" w:w="120"/>
              <w:bottom w:type="dxa" w:w="80"/>
              <w:right w:type="dxa" w:w="120"/>
            </w:tcMar>
          </w:tcPr>
          <w:p>
            <w:pPr>
              <w:jc w:val="center"/>
            </w:pPr>
            <w:r>
              <w:rPr>
                <w:rFonts w:ascii="Times New Roman" w:cs="Times New Roman" w:eastAsia="Times New Roman" w:hAnsi="Times New Roman"/>
                <w:b/>
                <w:bCs/>
                <w:sz w:val="21"/>
                <w:szCs w:val="21"/>
              </w:rPr>
              <w:t xml:space="preserve">Method</w:t>
            </w:r>
          </w:p>
        </w:tc>
        <w:tc>
          <w:tcPr>
            <w:tcW w:type="dxa" w:w="2120"/>
            <w:tcBorders>
              <w:top w:val="single" w:color="999999" w:sz="4"/>
              <w:left w:val="single" w:color="999999" w:sz="4"/>
              <w:bottom w:val="single" w:color="999999" w:sz="4"/>
              <w:right w:val="single" w:color="999999" w:sz="4"/>
            </w:tcBorders>
            <w:shd w:fill="E6EEF5" w:val="clear"/>
            <w:tcMar>
              <w:top w:type="dxa" w:w="80"/>
              <w:left w:type="dxa" w:w="120"/>
              <w:bottom w:type="dxa" w:w="80"/>
              <w:right w:type="dxa" w:w="120"/>
            </w:tcMar>
          </w:tcPr>
          <w:p>
            <w:pPr>
              <w:jc w:val="center"/>
            </w:pPr>
            <w:r>
              <w:rPr>
                <w:rFonts w:ascii="Times New Roman" w:cs="Times New Roman" w:eastAsia="Times New Roman" w:hAnsi="Times New Roman"/>
                <w:b/>
                <w:bCs/>
                <w:sz w:val="21"/>
                <w:szCs w:val="21"/>
              </w:rPr>
              <w:t xml:space="preserve">Best smoothed</w:t>
            </w:r>
          </w:p>
        </w:tc>
        <w:tc>
          <w:tcPr>
            <w:tcW w:type="dxa" w:w="2120"/>
            <w:tcBorders>
              <w:top w:val="single" w:color="999999" w:sz="4"/>
              <w:left w:val="single" w:color="999999" w:sz="4"/>
              <w:bottom w:val="single" w:color="999999" w:sz="4"/>
              <w:right w:val="single" w:color="999999" w:sz="4"/>
            </w:tcBorders>
            <w:shd w:fill="E6EEF5" w:val="clear"/>
            <w:tcMar>
              <w:top w:type="dxa" w:w="80"/>
              <w:left w:type="dxa" w:w="120"/>
              <w:bottom w:type="dxa" w:w="80"/>
              <w:right w:type="dxa" w:w="120"/>
            </w:tcMar>
          </w:tcPr>
          <w:p>
            <w:pPr>
              <w:jc w:val="center"/>
            </w:pPr>
            <w:r>
              <w:rPr>
                <w:rFonts w:ascii="Times New Roman" w:cs="Times New Roman" w:eastAsia="Times New Roman" w:hAnsi="Times New Roman"/>
                <w:b/>
                <w:bCs/>
                <w:sz w:val="21"/>
                <w:szCs w:val="21"/>
              </w:rPr>
              <w:t xml:space="preserve">Final-500 mean</w:t>
            </w:r>
          </w:p>
        </w:tc>
        <w:tc>
          <w:tcPr>
            <w:tcW w:type="dxa" w:w="2720"/>
            <w:tcBorders>
              <w:top w:val="single" w:color="999999" w:sz="4"/>
              <w:left w:val="single" w:color="999999" w:sz="4"/>
              <w:bottom w:val="single" w:color="999999" w:sz="4"/>
              <w:right w:val="single" w:color="999999" w:sz="4"/>
            </w:tcBorders>
            <w:shd w:fill="E6EEF5" w:val="clear"/>
            <w:tcMar>
              <w:top w:type="dxa" w:w="80"/>
              <w:left w:type="dxa" w:w="120"/>
              <w:bottom w:type="dxa" w:w="80"/>
              <w:right w:type="dxa" w:w="120"/>
            </w:tcMar>
          </w:tcPr>
          <w:p>
            <w:pPr>
              <w:jc w:val="center"/>
            </w:pPr>
            <w:r>
              <w:rPr>
                <w:rFonts w:ascii="Times New Roman" w:cs="Times New Roman" w:eastAsia="Times New Roman" w:hAnsi="Times New Roman"/>
                <w:b/>
                <w:bCs/>
                <w:sz w:val="21"/>
                <w:szCs w:val="21"/>
              </w:rPr>
              <w:t xml:space="preserve">Notes</w:t>
            </w:r>
          </w:p>
        </w:tc>
      </w:tr>
      <w:tr>
        <w:trPr>
          <w:tblHeader w:val="false"/>
        </w:trP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1"/>
                <w:szCs w:val="21"/>
              </w:rPr>
              <w:t xml:space="preserve">Random baseline</w:t>
            </w:r>
          </w:p>
        </w:tc>
        <w:tc>
          <w:tcPr>
            <w:tcW w:type="dxa" w:w="21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1"/>
                <w:szCs w:val="21"/>
              </w:rPr>
              <w:t xml:space="preserve">—</w:t>
            </w:r>
          </w:p>
        </w:tc>
        <w:tc>
          <w:tcPr>
            <w:tcW w:type="dxa" w:w="21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1"/>
                <w:szCs w:val="21"/>
              </w:rPr>
              <w:t xml:space="preserve">32.3%</w:t>
            </w:r>
          </w:p>
        </w:tc>
        <w:tc>
          <w:tcPr>
            <w:tcW w:type="dxa" w:w="27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1"/>
                <w:szCs w:val="21"/>
              </w:rPr>
              <w:t xml:space="preserve">Uniform action</w:t>
            </w:r>
          </w:p>
        </w:tc>
      </w:tr>
      <w:tr>
        <w:trPr>
          <w:tblHeader w:val="false"/>
        </w:trP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1"/>
                <w:szCs w:val="21"/>
              </w:rPr>
              <w:t xml:space="preserve">Greedy (Hungarian)</w:t>
            </w:r>
          </w:p>
        </w:tc>
        <w:tc>
          <w:tcPr>
            <w:tcW w:type="dxa" w:w="21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1"/>
                <w:szCs w:val="21"/>
              </w:rPr>
              <w:t xml:space="preserve">—</w:t>
            </w:r>
          </w:p>
        </w:tc>
        <w:tc>
          <w:tcPr>
            <w:tcW w:type="dxa" w:w="21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1"/>
                <w:szCs w:val="21"/>
              </w:rPr>
              <w:t xml:space="preserve">61.0%</w:t>
            </w:r>
          </w:p>
        </w:tc>
        <w:tc>
          <w:tcPr>
            <w:tcW w:type="dxa" w:w="27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1"/>
                <w:szCs w:val="21"/>
              </w:rPr>
              <w:t xml:space="preserve">Oracle assignment</w:t>
            </w:r>
          </w:p>
        </w:tc>
      </w:tr>
      <w:tr>
        <w:trPr>
          <w:tblHeader w:val="false"/>
        </w:trP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1"/>
                <w:szCs w:val="21"/>
              </w:rPr>
              <w:t xml:space="preserve">HiT-MAC (5 seeds)</w:t>
            </w:r>
          </w:p>
        </w:tc>
        <w:tc>
          <w:tcPr>
            <w:tcW w:type="dxa" w:w="21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1"/>
                <w:szCs w:val="21"/>
              </w:rPr>
              <w:t xml:space="preserve">59.6% ± 0.9%</w:t>
            </w:r>
          </w:p>
        </w:tc>
        <w:tc>
          <w:tcPr>
            <w:tcW w:type="dxa" w:w="21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1"/>
                <w:szCs w:val="21"/>
              </w:rPr>
              <w:t xml:space="preserve">52.0% ± 20.6%*</w:t>
            </w:r>
          </w:p>
        </w:tc>
        <w:tc>
          <w:tcPr>
            <w:tcW w:type="dxa" w:w="27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1"/>
                <w:szCs w:val="21"/>
              </w:rPr>
              <w:t xml:space="preserve">*incl. collapsed seed</w:t>
            </w:r>
          </w:p>
        </w:tc>
      </w:tr>
      <w:tr>
        <w:trPr>
          <w:tblHeader w:val="false"/>
        </w:trP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1"/>
                <w:szCs w:val="21"/>
              </w:rPr>
              <w:t xml:space="preserve">NA²Q (1 seed)</w:t>
            </w:r>
          </w:p>
        </w:tc>
        <w:tc>
          <w:tcPr>
            <w:tcW w:type="dxa" w:w="21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1"/>
                <w:szCs w:val="21"/>
              </w:rPr>
              <w:t xml:space="preserve">59.6%</w:t>
            </w:r>
          </w:p>
        </w:tc>
        <w:tc>
          <w:tcPr>
            <w:tcW w:type="dxa" w:w="21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1"/>
                <w:szCs w:val="21"/>
              </w:rPr>
              <w:t xml:space="preserve">51.6%</w:t>
            </w:r>
          </w:p>
        </w:tc>
        <w:tc>
          <w:tcPr>
            <w:tcW w:type="dxa" w:w="27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1"/>
                <w:szCs w:val="21"/>
              </w:rPr>
              <w:t xml:space="preserve">Single-seed estimate</w:t>
            </w:r>
          </w:p>
        </w:tc>
      </w:tr>
    </w:tbl>
    <w:p>
      <w:pPr>
        <w:spacing w:after="200" w:before="80"/>
        <w:jc w:val="center"/>
      </w:pPr>
      <w:r>
        <w:rPr>
          <w:rFonts w:ascii="Times New Roman" w:cs="Times New Roman" w:eastAsia="Times New Roman" w:hAnsi="Times New Roman"/>
          <w:i/>
          <w:iCs/>
          <w:sz w:val="20"/>
          <w:szCs w:val="20"/>
        </w:rPr>
        <w:t xml:space="preserve">Table 2. Scenario 1 coverage. The asterisk on HiT-MAC final-window std reflects one collapsed seed; excluding it gives 4-seed values closer to NA²Q’s point estimate.</w:t>
      </w:r>
    </w:p>
    <w:p>
      <w:pPr>
        <w:pStyle w:val="Heading2"/>
        <w:spacing w:after="120" w:before="240"/>
      </w:pPr>
      <w:r>
        <w:rPr>
          <w:rFonts w:ascii="Times New Roman" w:cs="Times New Roman" w:eastAsia="Times New Roman" w:hAnsi="Times New Roman"/>
          <w:b/>
          <w:bCs/>
          <w:sz w:val="26"/>
          <w:szCs w:val="26"/>
        </w:rPr>
        <w:t xml:space="preserve">6.2 Scenario 2 — large DSN (50 sensors, 60 targets)</w:t>
      </w:r>
    </w:p>
    <w:p>
      <w:pPr>
        <w:spacing w:after="120" w:line="300"/>
        <w:jc w:val="both"/>
      </w:pPr>
      <w:r>
        <w:rPr>
          <w:rFonts w:ascii="Times New Roman" w:cs="Times New Roman" w:eastAsia="Times New Roman" w:hAnsi="Times New Roman"/>
          <w:b w:val="false"/>
          <w:bCs w:val="false"/>
          <w:i w:val="false"/>
          <w:iCs w:val="false"/>
          <w:sz w:val="22"/>
          <w:szCs w:val="22"/>
        </w:rPr>
        <w:t xml:space="preserve">Figure 14 shows the Scenario 2 learning curves for both algorithms. NA²Q rises in two stages: it sits near the random baseline for the first ~1,500 episodes while the per-agent Q-networks initialise, then climbs sharply between episodes ~1,500 and ~2,600 to a peak smoothed coverage of 65.4%, after which it stabilises in the 63–65% band for the remainder of training. HiT-MAC rises faster early (overtaking random within ~500 episodes) but converges to a lower plateau around 60% and stays there. The cross-method ranking is therefore opposite to Scenario 1: at the larger scale NA²Q wins by roughly five percentage points, while on the small scenario both methods tied at the peak. Both algorithms remain well below the 80% greedy oracle, so 50-agent coordination from a local observation model is still a substantially harder credit-assignment problem than the 5-agent case — the room for improvement just happens to be larger for HiT-MAC than for NA²Q.</w:t>
      </w:r>
    </w:p>
    <w:p>
      <w:pPr>
        <w:spacing w:after="60" w:before="160"/>
        <w:jc w:val="center"/>
      </w:pPr>
      <w:r>
        <w:drawing>
          <wp:inline distT="0" distB="0" distL="0" distR="0">
            <wp:extent cx="5143500" cy="3048000"/>
            <wp:effectExtent t="0" r="0" b="0" l="0"/>
            <wp:docPr id="1" name="fig2_scenario2_curves.png" descr="fig2_scenario2_curves.png" title="fig2_scenario2_curv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43500" cy="3048000"/>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20"/>
          <w:szCs w:val="20"/>
        </w:rPr>
        <w:t xml:space="preserve">Figure 14. Scenario 2 learning curves. NA²Q (blue) reaches a higher final plateau than HiT-MAC (orange) at the 50-agent scale, reversing the Scenario 1 ordering. Smoothing window: 200 episodes.</w:t>
      </w:r>
    </w:p>
    <w:p>
      <w:pPr>
        <w:spacing w:after="120" w:line="300"/>
        <w:jc w:val="both"/>
      </w:pPr>
      <w:r>
        <w:rPr>
          <w:rFonts w:ascii="Times New Roman" w:cs="Times New Roman" w:eastAsia="Times New Roman" w:hAnsi="Times New Roman"/>
          <w:b w:val="false"/>
          <w:bCs w:val="false"/>
          <w:i w:val="false"/>
          <w:iCs w:val="false"/>
          <w:sz w:val="22"/>
          <w:szCs w:val="22"/>
        </w:rPr>
        <w:t xml:space="preserve">Table 3 reports the headline numbers. NA²Q’s best smoothed coverage exceeds HiT-MAC’s by 4.8 percentage points and its final-500 mean exceeds HiT-MAC’s by 3.6 points; the gap is small in absolute terms but consistent in sign across both summary statistics. Both algorithms close roughly a quarter of the random-to-greedy gap (24.1 percentage points), with NA²Q closing slightly more.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20"/>
        <w:gridCol w:w="2120"/>
        <w:gridCol w:w="2720"/>
      </w:tblGrid>
      <w:tr>
        <w:trPr>
          <w:tblHeader/>
        </w:trPr>
        <w:tc>
          <w:tcPr>
            <w:tcW w:type="dxa" w:w="2400"/>
            <w:tcBorders>
              <w:top w:val="single" w:color="999999" w:sz="4"/>
              <w:left w:val="single" w:color="999999" w:sz="4"/>
              <w:bottom w:val="single" w:color="999999" w:sz="4"/>
              <w:right w:val="single" w:color="999999" w:sz="4"/>
            </w:tcBorders>
            <w:shd w:fill="E6EEF5" w:val="clear"/>
            <w:tcMar>
              <w:top w:type="dxa" w:w="80"/>
              <w:left w:type="dxa" w:w="120"/>
              <w:bottom w:type="dxa" w:w="80"/>
              <w:right w:type="dxa" w:w="120"/>
            </w:tcMar>
          </w:tcPr>
          <w:p>
            <w:pPr>
              <w:jc w:val="center"/>
            </w:pPr>
            <w:r>
              <w:rPr>
                <w:rFonts w:ascii="Times New Roman" w:cs="Times New Roman" w:eastAsia="Times New Roman" w:hAnsi="Times New Roman"/>
                <w:b/>
                <w:bCs/>
                <w:sz w:val="21"/>
                <w:szCs w:val="21"/>
              </w:rPr>
              <w:t xml:space="preserve">Method</w:t>
            </w:r>
          </w:p>
        </w:tc>
        <w:tc>
          <w:tcPr>
            <w:tcW w:type="dxa" w:w="2120"/>
            <w:tcBorders>
              <w:top w:val="single" w:color="999999" w:sz="4"/>
              <w:left w:val="single" w:color="999999" w:sz="4"/>
              <w:bottom w:val="single" w:color="999999" w:sz="4"/>
              <w:right w:val="single" w:color="999999" w:sz="4"/>
            </w:tcBorders>
            <w:shd w:fill="E6EEF5" w:val="clear"/>
            <w:tcMar>
              <w:top w:type="dxa" w:w="80"/>
              <w:left w:type="dxa" w:w="120"/>
              <w:bottom w:type="dxa" w:w="80"/>
              <w:right w:type="dxa" w:w="120"/>
            </w:tcMar>
          </w:tcPr>
          <w:p>
            <w:pPr>
              <w:jc w:val="center"/>
            </w:pPr>
            <w:r>
              <w:rPr>
                <w:rFonts w:ascii="Times New Roman" w:cs="Times New Roman" w:eastAsia="Times New Roman" w:hAnsi="Times New Roman"/>
                <w:b/>
                <w:bCs/>
                <w:sz w:val="21"/>
                <w:szCs w:val="21"/>
              </w:rPr>
              <w:t xml:space="preserve">Best smoothed</w:t>
            </w:r>
          </w:p>
        </w:tc>
        <w:tc>
          <w:tcPr>
            <w:tcW w:type="dxa" w:w="2120"/>
            <w:tcBorders>
              <w:top w:val="single" w:color="999999" w:sz="4"/>
              <w:left w:val="single" w:color="999999" w:sz="4"/>
              <w:bottom w:val="single" w:color="999999" w:sz="4"/>
              <w:right w:val="single" w:color="999999" w:sz="4"/>
            </w:tcBorders>
            <w:shd w:fill="E6EEF5" w:val="clear"/>
            <w:tcMar>
              <w:top w:type="dxa" w:w="80"/>
              <w:left w:type="dxa" w:w="120"/>
              <w:bottom w:type="dxa" w:w="80"/>
              <w:right w:type="dxa" w:w="120"/>
            </w:tcMar>
          </w:tcPr>
          <w:p>
            <w:pPr>
              <w:jc w:val="center"/>
            </w:pPr>
            <w:r>
              <w:rPr>
                <w:rFonts w:ascii="Times New Roman" w:cs="Times New Roman" w:eastAsia="Times New Roman" w:hAnsi="Times New Roman"/>
                <w:b/>
                <w:bCs/>
                <w:sz w:val="21"/>
                <w:szCs w:val="21"/>
              </w:rPr>
              <w:t xml:space="preserve">Final-500 mean</w:t>
            </w:r>
          </w:p>
        </w:tc>
        <w:tc>
          <w:tcPr>
            <w:tcW w:type="dxa" w:w="2720"/>
            <w:tcBorders>
              <w:top w:val="single" w:color="999999" w:sz="4"/>
              <w:left w:val="single" w:color="999999" w:sz="4"/>
              <w:bottom w:val="single" w:color="999999" w:sz="4"/>
              <w:right w:val="single" w:color="999999" w:sz="4"/>
            </w:tcBorders>
            <w:shd w:fill="E6EEF5" w:val="clear"/>
            <w:tcMar>
              <w:top w:type="dxa" w:w="80"/>
              <w:left w:type="dxa" w:w="120"/>
              <w:bottom w:type="dxa" w:w="80"/>
              <w:right w:type="dxa" w:w="120"/>
            </w:tcMar>
          </w:tcPr>
          <w:p>
            <w:pPr>
              <w:jc w:val="center"/>
            </w:pPr>
            <w:r>
              <w:rPr>
                <w:rFonts w:ascii="Times New Roman" w:cs="Times New Roman" w:eastAsia="Times New Roman" w:hAnsi="Times New Roman"/>
                <w:b/>
                <w:bCs/>
                <w:sz w:val="21"/>
                <w:szCs w:val="21"/>
              </w:rPr>
              <w:t xml:space="preserve">Status</w:t>
            </w:r>
          </w:p>
        </w:tc>
      </w:tr>
      <w:tr>
        <w:trPr>
          <w:tblHeader w:val="false"/>
        </w:trP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1"/>
                <w:szCs w:val="21"/>
              </w:rPr>
              <w:t xml:space="preserve">Random baseline</w:t>
            </w:r>
          </w:p>
        </w:tc>
        <w:tc>
          <w:tcPr>
            <w:tcW w:type="dxa" w:w="21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1"/>
                <w:szCs w:val="21"/>
              </w:rPr>
              <w:t xml:space="preserve">—</w:t>
            </w:r>
          </w:p>
        </w:tc>
        <w:tc>
          <w:tcPr>
            <w:tcW w:type="dxa" w:w="21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1"/>
                <w:szCs w:val="21"/>
              </w:rPr>
              <w:t xml:space="preserve">56.0%</w:t>
            </w:r>
          </w:p>
        </w:tc>
        <w:tc>
          <w:tcPr>
            <w:tcW w:type="dxa" w:w="27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1"/>
                <w:szCs w:val="21"/>
              </w:rPr>
              <w:t xml:space="preserve">Done</w:t>
            </w:r>
          </w:p>
        </w:tc>
      </w:tr>
      <w:tr>
        <w:trPr>
          <w:tblHeader w:val="false"/>
        </w:trP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1"/>
                <w:szCs w:val="21"/>
              </w:rPr>
              <w:t xml:space="preserve">Greedy (Hungarian)</w:t>
            </w:r>
          </w:p>
        </w:tc>
        <w:tc>
          <w:tcPr>
            <w:tcW w:type="dxa" w:w="21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1"/>
                <w:szCs w:val="21"/>
              </w:rPr>
              <w:t xml:space="preserve">—</w:t>
            </w:r>
          </w:p>
        </w:tc>
        <w:tc>
          <w:tcPr>
            <w:tcW w:type="dxa" w:w="21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1"/>
                <w:szCs w:val="21"/>
              </w:rPr>
              <w:t xml:space="preserve">80.1%</w:t>
            </w:r>
          </w:p>
        </w:tc>
        <w:tc>
          <w:tcPr>
            <w:tcW w:type="dxa" w:w="27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1"/>
                <w:szCs w:val="21"/>
              </w:rPr>
              <w:t xml:space="preserve">Done</w:t>
            </w:r>
          </w:p>
        </w:tc>
      </w:tr>
      <w:tr>
        <w:trPr>
          <w:tblHeader w:val="false"/>
        </w:trP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1"/>
                <w:szCs w:val="21"/>
              </w:rPr>
              <w:t xml:space="preserve">HiT-MAC (1 seed)</w:t>
            </w:r>
          </w:p>
        </w:tc>
        <w:tc>
          <w:tcPr>
            <w:tcW w:type="dxa" w:w="21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1"/>
                <w:szCs w:val="21"/>
              </w:rPr>
              <w:t xml:space="preserve">60.7%</w:t>
            </w:r>
          </w:p>
        </w:tc>
        <w:tc>
          <w:tcPr>
            <w:tcW w:type="dxa" w:w="21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1"/>
                <w:szCs w:val="21"/>
              </w:rPr>
              <w:t xml:space="preserve">59.7%</w:t>
            </w:r>
          </w:p>
        </w:tc>
        <w:tc>
          <w:tcPr>
            <w:tcW w:type="dxa" w:w="27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1"/>
                <w:szCs w:val="21"/>
              </w:rPr>
              <w:t xml:space="preserve">Done</w:t>
            </w:r>
          </w:p>
        </w:tc>
      </w:tr>
      <w:tr>
        <w:trPr>
          <w:tblHeader w:val="false"/>
        </w:trP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1"/>
                <w:szCs w:val="21"/>
              </w:rPr>
              <w:t xml:space="preserve">NA²Q (1 seed)</w:t>
            </w:r>
          </w:p>
        </w:tc>
        <w:tc>
          <w:tcPr>
            <w:tcW w:type="dxa" w:w="21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1"/>
                <w:szCs w:val="21"/>
              </w:rPr>
              <w:t xml:space="preserve">65.4%</w:t>
            </w:r>
          </w:p>
        </w:tc>
        <w:tc>
          <w:tcPr>
            <w:tcW w:type="dxa" w:w="21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1"/>
                <w:szCs w:val="21"/>
              </w:rPr>
              <w:t xml:space="preserve">63.3%</w:t>
            </w:r>
          </w:p>
        </w:tc>
        <w:tc>
          <w:tcPr>
            <w:tcW w:type="dxa" w:w="27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1"/>
                <w:szCs w:val="21"/>
              </w:rPr>
              <w:t xml:space="preserve">Done</w:t>
            </w:r>
          </w:p>
        </w:tc>
      </w:tr>
    </w:tbl>
    <w:p>
      <w:pPr>
        <w:spacing w:after="200" w:before="80"/>
        <w:jc w:val="center"/>
      </w:pPr>
      <w:r>
        <w:rPr>
          <w:rFonts w:ascii="Times New Roman" w:cs="Times New Roman" w:eastAsia="Times New Roman" w:hAnsi="Times New Roman"/>
          <w:i/>
          <w:iCs/>
          <w:sz w:val="20"/>
          <w:szCs w:val="20"/>
        </w:rPr>
        <w:t xml:space="preserve">Table 3. Scenario 2 coverage. NA²Q outperforms HiT-MAC by ~5 points on best smoothed and ~4 points on the final-500 window at the 50-agent scale.</w:t>
      </w:r>
    </w:p>
    <w:p>
      <w:pPr>
        <w:pStyle w:val="Heading2"/>
        <w:spacing w:after="120" w:before="240"/>
      </w:pPr>
      <w:r>
        <w:rPr>
          <w:rFonts w:ascii="Times New Roman" w:cs="Times New Roman" w:eastAsia="Times New Roman" w:hAnsi="Times New Roman"/>
          <w:b/>
          <w:bCs/>
          <w:sz w:val="26"/>
          <w:szCs w:val="26"/>
        </w:rPr>
        <w:t xml:space="preserve">6.3 Stability and the HiT-MAC seed-4 collapse</w:t>
      </w:r>
    </w:p>
    <w:p>
      <w:pPr>
        <w:spacing w:after="120" w:line="300"/>
        <w:jc w:val="both"/>
      </w:pPr>
      <w:r>
        <w:rPr>
          <w:rFonts w:ascii="Times New Roman" w:cs="Times New Roman" w:eastAsia="Times New Roman" w:hAnsi="Times New Roman"/>
          <w:b w:val="false"/>
          <w:bCs w:val="false"/>
          <w:i w:val="false"/>
          <w:iCs w:val="false"/>
          <w:sz w:val="22"/>
          <w:szCs w:val="22"/>
        </w:rPr>
        <w:t xml:space="preserve">During Scenario 1, four of five HiT-MAC seeds learn cleanly and converge to the ~58–62% smoothed plateau; the fifth (seed 4) trains normally for the first ~12,500 episodes and then collapses to ~21% coverage — below the random baseline — for the remainder of training. The collapse signature is consistent with an A3C shared-memory race condition (Mnih et al., 2016): with 8 parallel workers writing gradients to a shared model, a single bad gradient update can corrupt the weights and the surviving workers then compute updates from a degenerate policy, cascading the failure. The fix is straightforward (raise entropy regularisation from 0.01 to 0.05 (Williams &amp; Peng, 1991), or add per-worker gradient norm clipping (Pascanu et al., 2013)); we did not re-run because the four good seeds already establish the algorithm’s typical behaviour and the collapse is itself a finding.</w:t>
      </w:r>
    </w:p>
    <w:p>
      <w:pPr>
        <w:spacing w:after="60" w:before="160"/>
        <w:jc w:val="center"/>
      </w:pPr>
      <w:r>
        <w:drawing>
          <wp:inline distT="0" distB="0" distL="0" distR="0">
            <wp:extent cx="5143500" cy="2857500"/>
            <wp:effectExtent t="0" r="0" b="0" l="0"/>
            <wp:docPr id="1" name="fig4_perseed.png" descr="fig4_perseed.png" title="fig4_perse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143500" cy="2857500"/>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20"/>
          <w:szCs w:val="20"/>
        </w:rPr>
        <w:t xml:space="preserve">Figure 15. HiT-MAC per-seed coverage on Scenario 1. Seed 4 (dashed) collapses around episode 12,500. Excluding it, the remaining four seeds form a tight band.</w:t>
      </w:r>
    </w:p>
    <w:p>
      <w:pPr>
        <w:spacing w:after="120" w:line="300"/>
        <w:jc w:val="both"/>
      </w:pPr>
      <w:r>
        <w:rPr>
          <w:rFonts w:ascii="Times New Roman" w:cs="Times New Roman" w:eastAsia="Times New Roman" w:hAnsi="Times New Roman"/>
          <w:b w:val="false"/>
          <w:bCs w:val="false"/>
          <w:i w:val="false"/>
          <w:iCs w:val="false"/>
          <w:sz w:val="22"/>
          <w:szCs w:val="22"/>
        </w:rPr>
        <w:t xml:space="preserve">Statistically, including seed 4 inflates the reported standard deviation on the final-window mean from ~0.9% to 20.6%; if a single number is required, the four-seed mean is the more honest summary. Reporting both values keeps the failure mode visible.</w:t>
      </w:r>
    </w:p>
    <w:p>
      <w:pPr>
        <w:pStyle w:val="Heading2"/>
        <w:spacing w:after="120" w:before="240"/>
      </w:pPr>
      <w:r>
        <w:rPr>
          <w:rFonts w:ascii="Times New Roman" w:cs="Times New Roman" w:eastAsia="Times New Roman" w:hAnsi="Times New Roman"/>
          <w:b/>
          <w:bCs/>
          <w:sz w:val="26"/>
          <w:szCs w:val="26"/>
        </w:rPr>
        <w:t xml:space="preserve">6.4 Cross-scenario comparison</w:t>
      </w:r>
    </w:p>
    <w:p>
      <w:pPr>
        <w:spacing w:after="120" w:line="300"/>
        <w:jc w:val="both"/>
      </w:pPr>
      <w:r>
        <w:rPr>
          <w:rFonts w:ascii="Times New Roman" w:cs="Times New Roman" w:eastAsia="Times New Roman" w:hAnsi="Times New Roman"/>
          <w:b w:val="false"/>
          <w:bCs w:val="false"/>
          <w:i w:val="false"/>
          <w:iCs w:val="false"/>
          <w:sz w:val="22"/>
          <w:szCs w:val="22"/>
        </w:rPr>
        <w:t xml:space="preserve">Figure 16 collects the headline numbers across both scenarios. Two patterns are visible. First, the gap between Random and Greedy baselines shrinks as the environment scales up — from 28.7 percentage points in Scenario 1 to 24.1 in Scenario 2 — because random heading choice becomes more competitive when targets are dense and sensors are numerous. Second, the cross-method ranking flips with scale: NA²Q and HiT-MAC tie at the peak in Scenario 1 (~59.6%), but NA²Q pulls ahead by ~5 points in Scenario 2 (65.4% vs 60.7%). Closing the remaining gap to the greedy oracle at the 50-agent scale is the main open problem.</w:t>
      </w:r>
    </w:p>
    <w:p>
      <w:pPr>
        <w:spacing w:after="60" w:before="160"/>
        <w:jc w:val="center"/>
      </w:pPr>
      <w:r>
        <w:drawing>
          <wp:inline distT="0" distB="0" distL="0" distR="0">
            <wp:extent cx="5143500" cy="2857500"/>
            <wp:effectExtent t="0" r="0" b="0" l="0"/>
            <wp:docPr id="1" name="fig3_bar_comparison.png" descr="fig3_bar_comparison.png" title="fig3_bar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143500" cy="2857500"/>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20"/>
          <w:szCs w:val="20"/>
        </w:rPr>
        <w:t xml:space="preserve">Figure 16. Best smoothed coverage by method and scenario. The two methods tie in Scenario 1 and NA²Q leads in Scenario 2.</w:t>
      </w:r>
    </w:p>
    <w:p>
      <w:pPr>
        <w:pStyle w:val="Heading1"/>
        <w:spacing w:after="160" w:before="320"/>
      </w:pPr>
      <w:r>
        <w:rPr>
          <w:rFonts w:ascii="Times New Roman" w:cs="Times New Roman" w:eastAsia="Times New Roman" w:hAnsi="Times New Roman"/>
          <w:b/>
          <w:bCs/>
          <w:sz w:val="30"/>
          <w:szCs w:val="30"/>
        </w:rPr>
        <w:t xml:space="preserve">7. Discussion</w:t>
      </w:r>
    </w:p>
    <w:p>
      <w:pPr>
        <w:spacing w:after="120" w:line="300"/>
        <w:jc w:val="both"/>
      </w:pPr>
      <w:r>
        <w:rPr>
          <w:rFonts w:ascii="Times New Roman" w:cs="Times New Roman" w:eastAsia="Times New Roman" w:hAnsi="Times New Roman"/>
          <w:b w:val="false"/>
          <w:bCs w:val="false"/>
          <w:i w:val="false"/>
          <w:iCs w:val="false"/>
          <w:sz w:val="22"/>
          <w:szCs w:val="22"/>
        </w:rPr>
        <w:t xml:space="preserve">The Scenario 1 results suggest that NA²Q (Liu et al., 2023) and HiT-MAC (Xu et al., 2020) are roughly comparable in best-case performance on small DSN problems, and that both essentially saturate the coordination room available against a centralised greedy oracle (Kuhn, 1955). The two methods differ in shape rather than in level: NA²Q learns faster on a per-episode basis but is more volatile after its peak, while HiT-MAC learns more slowly and stays put. From a practitioner’s point of view this is a familiar tradeoff between value-decomposition methods (Sunehag et al., 2018; Rashid et al., 2018) — which can move quickly through the policy space because every agent shares one Q-function — and hierarchical actor-critic methods (Foerster et al., 2018; Xu et al., 2020), which are slower per step but tend to be more stable once the assignment layer is competent.</w:t>
      </w:r>
    </w:p>
    <w:p>
      <w:pPr>
        <w:spacing w:after="120" w:line="300"/>
        <w:jc w:val="both"/>
      </w:pPr>
      <w:r>
        <w:rPr>
          <w:rFonts w:ascii="Times New Roman" w:cs="Times New Roman" w:eastAsia="Times New Roman" w:hAnsi="Times New Roman"/>
          <w:b w:val="false"/>
          <w:bCs w:val="false"/>
          <w:i w:val="false"/>
          <w:iCs w:val="false"/>
          <w:sz w:val="22"/>
          <w:szCs w:val="22"/>
        </w:rPr>
        <w:t xml:space="preserve">The Scenario 2 picture is more interesting once both algorithms are in the chart. NA²Q does better than HiT-MAC at the 50-agent scale by about five percentage points on both summary statistics, despite (or because of) being a more parameter-heavy algorithm — each sensor in NA²Q has its own Q-network, so credit is assigned locally per agent rather than through a single attention head over a global state. A reasonable hypothesis is that the per-agent decomposition becomes more useful as the number of agents grows, because the global attention head in HiT-MAC has to summarise a much larger set of sensor–target relationships and the resulting bottleneck flattens its policy. Both methods are still well below the greedy oracle (~80%), so plenty of headroom remains; the right next step is to lengthen the training budget at Scenario 2 (the current 5,000-episode run is short by Scenario-1 standards) and re-evaluate.</w:t>
      </w:r>
    </w:p>
    <w:p>
      <w:pPr>
        <w:spacing w:after="120" w:line="300"/>
        <w:jc w:val="both"/>
      </w:pPr>
      <w:r>
        <w:rPr>
          <w:rFonts w:ascii="Times New Roman" w:cs="Times New Roman" w:eastAsia="Times New Roman" w:hAnsi="Times New Roman"/>
          <w:b w:val="false"/>
          <w:bCs w:val="false"/>
          <w:i w:val="false"/>
          <w:iCs w:val="false"/>
          <w:sz w:val="22"/>
          <w:szCs w:val="22"/>
        </w:rPr>
        <w:t xml:space="preserve">Two methodological points are worth keeping in mind for any future iteration of this comparison. The first is that single-seed numbers in Scenario 2 should be read with appropriate uncertainty (Henderson et al., 2018); HiT-MAC’s seed-4 collapse in Scenario 1 is direct evidence that one bad seed can mislead the eye, and there is no reason to think the larger scenario is immune. The second is that the Random and Greedy baselines should be computed under exactly the same observation model and step budget as the learned policies (Papoudakis et al., 2021); otherwise apparent gaps to the oracle reflect protocol differences rather than algorithmic gaps.</w:t>
      </w:r>
    </w:p>
    <w:p>
      <w:pPr>
        <w:pStyle w:val="Heading1"/>
        <w:spacing w:after="160" w:before="320"/>
      </w:pPr>
      <w:r>
        <w:rPr>
          <w:rFonts w:ascii="Times New Roman" w:cs="Times New Roman" w:eastAsia="Times New Roman" w:hAnsi="Times New Roman"/>
          <w:b/>
          <w:bCs/>
          <w:sz w:val="30"/>
          <w:szCs w:val="30"/>
        </w:rPr>
        <w:t xml:space="preserve">8. Limitations</w:t>
      </w:r>
    </w:p>
    <w:p>
      <w:pPr>
        <w:spacing w:after="120" w:line="300"/>
        <w:jc w:val="both"/>
      </w:pPr>
      <w:r>
        <w:rPr>
          <w:rFonts w:ascii="Times New Roman" w:cs="Times New Roman" w:eastAsia="Times New Roman" w:hAnsi="Times New Roman"/>
          <w:b w:val="false"/>
          <w:bCs w:val="false"/>
          <w:i w:val="false"/>
          <w:iCs w:val="false"/>
          <w:sz w:val="22"/>
          <w:szCs w:val="22"/>
        </w:rPr>
        <w:t xml:space="preserve">The main limitation of this report is the single-seed status of every Scenario 2 number, for both algorithms. The MARL benchmarking literature consistently warns against drawing conclusions from single seeds (Henderson et al., 2018; Papoudakis et al., 2021), and the ~5-point gap in favour of NA²Q on Scenario 2 is small enough that seed variance could plausibly close it; multi-seed re-runs would tighten the comparison considerably. A second limitation is that the Scenario 2 budget (~5,000 training episodes) is roughly an order of magnitude shorter in episodes than Scenario 1, so neither method has fully exploited its asymptotic plateau at the larger scale; the ranking we observe might shift with a longer training schedule. A third is the unfixed A3C race condition in HiT-MAC (Mnih et al., 2016): while the documented Scenario-1 collapse is informative, a re-run of seed 4 with a fresh seed (or with the entropy-regularisation fix; Williams &amp; Peng, 1991) would tighten the multi-seed statistics. A fourth is the short evaluation horizon for the non-learning baselines (300 episodes) compared with the multi-thousand-episode training horizon for the learners.</w:t>
      </w:r>
    </w:p>
    <w:p>
      <w:pPr>
        <w:pStyle w:val="Heading1"/>
        <w:spacing w:after="160" w:before="320"/>
      </w:pPr>
      <w:r>
        <w:rPr>
          <w:rFonts w:ascii="Times New Roman" w:cs="Times New Roman" w:eastAsia="Times New Roman" w:hAnsi="Times New Roman"/>
          <w:b/>
          <w:bCs/>
          <w:sz w:val="30"/>
          <w:szCs w:val="30"/>
        </w:rPr>
        <w:t xml:space="preserve">9. Conclusion</w:t>
      </w:r>
    </w:p>
    <w:p>
      <w:pPr>
        <w:spacing w:after="120" w:line="300"/>
        <w:jc w:val="both"/>
      </w:pPr>
      <w:r>
        <w:rPr>
          <w:rFonts w:ascii="Times New Roman" w:cs="Times New Roman" w:eastAsia="Times New Roman" w:hAnsi="Times New Roman"/>
          <w:b w:val="false"/>
          <w:bCs w:val="false"/>
          <w:i w:val="false"/>
          <w:iCs w:val="false"/>
          <w:sz w:val="22"/>
          <w:szCs w:val="22"/>
        </w:rPr>
        <w:t xml:space="preserve">On the small Scenario 1 DSN environment, NA²Q (Liu et al., 2023) and HiT-MAC (Xu et al., 2020) reach essentially the same peak smoothed coverage (~59.6%), close to the centralised greedy oracle (~61.0%; Kuhn, 1955) and well above random (~32.3%). HiT-MAC learns faster on a per-episode basis and is more sample-efficient at moderate thresholds (Figure 11); NA²Q is the only method that briefly clears the 55% level. On the large Scenario 2 environment the ordering flips: NA²Q reaches a peak smoothed coverage of 65.4% (final-500 mean 63.3%) while HiT-MAC plateaus at 60.7% (final-500 mean 59.7%), a roughly 5-point gap in NA²Q’s favour. Both algorithms still sit well below the 80% greedy oracle at the 50-agent scale, so 50-agent DSN coordination remains a substantively harder problem than the 5-agent case — but the value-decomposition approach scales better than the hierarchical actor-critic approach in this configuration. The obvious next steps are: re-running Scenario 2 across multiple seeds to confirm the gap is not seed variance, lengthening the Scenario-2 training budget to test whether the ranking persists, and fixing the A3C race condition in HiT-MAC (Mnih et al., 2016).</w:t>
      </w:r>
    </w:p>
    <w:p>
      <w:pPr>
        <w:pStyle w:val="Heading1"/>
        <w:spacing w:after="160" w:before="320"/>
      </w:pPr>
      <w:r>
        <w:rPr>
          <w:rFonts w:ascii="Times New Roman" w:cs="Times New Roman" w:eastAsia="Times New Roman" w:hAnsi="Times New Roman"/>
          <w:b/>
          <w:bCs/>
          <w:sz w:val="30"/>
          <w:szCs w:val="30"/>
        </w:rPr>
        <w:t xml:space="preserve">References</w:t>
      </w:r>
    </w:p>
    <w:p>
      <w:pPr>
        <w:spacing w:after="120" w:line="300"/>
        <w:jc w:val="both"/>
      </w:pPr>
      <w:r>
        <w:rPr>
          <w:rFonts w:ascii="Times New Roman" w:cs="Times New Roman" w:eastAsia="Times New Roman" w:hAnsi="Times New Roman"/>
          <w:b w:val="false"/>
          <w:bCs w:val="false"/>
          <w:i w:val="false"/>
          <w:iCs w:val="false"/>
          <w:sz w:val="22"/>
          <w:szCs w:val="22"/>
        </w:rPr>
        <w:t xml:space="preserve">Cai, Y., Lou, W., Li, M., &amp; Li, X.-Y. (2009). </w:t>
      </w:r>
      <w:r>
        <w:rPr>
          <w:rFonts w:ascii="Times New Roman" w:cs="Times New Roman" w:eastAsia="Times New Roman" w:hAnsi="Times New Roman"/>
          <w:b w:val="false"/>
          <w:bCs w:val="false"/>
          <w:i/>
          <w:iCs/>
          <w:sz w:val="22"/>
          <w:szCs w:val="22"/>
        </w:rPr>
        <w:t xml:space="preserve">Energy efficient target-oriented scheduling in directional sensor networks. </w:t>
      </w:r>
      <w:r>
        <w:rPr>
          <w:rFonts w:ascii="Times New Roman" w:cs="Times New Roman" w:eastAsia="Times New Roman" w:hAnsi="Times New Roman"/>
          <w:b w:val="false"/>
          <w:bCs w:val="false"/>
          <w:i w:val="false"/>
          <w:iCs w:val="false"/>
          <w:sz w:val="22"/>
          <w:szCs w:val="22"/>
        </w:rPr>
        <w:t xml:space="preserve">IEEE Transactions on Computers, 58(9), 1259–1274.</w:t>
      </w:r>
    </w:p>
    <w:p>
      <w:pPr>
        <w:spacing w:after="120" w:line="300"/>
        <w:jc w:val="both"/>
      </w:pPr>
      <w:r>
        <w:rPr>
          <w:rFonts w:ascii="Times New Roman" w:cs="Times New Roman" w:eastAsia="Times New Roman" w:hAnsi="Times New Roman"/>
          <w:b w:val="false"/>
          <w:bCs w:val="false"/>
          <w:i w:val="false"/>
          <w:iCs w:val="false"/>
          <w:sz w:val="22"/>
          <w:szCs w:val="22"/>
        </w:rPr>
        <w:t xml:space="preserve">Foerster, J., Farquhar, G., Afouras, T., Nardelli, N., &amp; Whiteson, S. (2018). </w:t>
      </w:r>
      <w:r>
        <w:rPr>
          <w:rFonts w:ascii="Times New Roman" w:cs="Times New Roman" w:eastAsia="Times New Roman" w:hAnsi="Times New Roman"/>
          <w:b w:val="false"/>
          <w:bCs w:val="false"/>
          <w:i/>
          <w:iCs/>
          <w:sz w:val="22"/>
          <w:szCs w:val="22"/>
        </w:rPr>
        <w:t xml:space="preserve">Counterfactual Multi-Agent Policy Gradients. </w:t>
      </w:r>
      <w:r>
        <w:rPr>
          <w:rFonts w:ascii="Times New Roman" w:cs="Times New Roman" w:eastAsia="Times New Roman" w:hAnsi="Times New Roman"/>
          <w:b w:val="false"/>
          <w:bCs w:val="false"/>
          <w:i w:val="false"/>
          <w:iCs w:val="false"/>
          <w:sz w:val="22"/>
          <w:szCs w:val="22"/>
        </w:rPr>
        <w:t xml:space="preserve">Proceedings of the 32nd AAAI Conference on Artificial Intelligence. arXiv:1705.08926.</w:t>
      </w:r>
    </w:p>
    <w:p>
      <w:pPr>
        <w:spacing w:after="120" w:line="300"/>
        <w:jc w:val="both"/>
      </w:pPr>
      <w:r>
        <w:rPr>
          <w:rFonts w:ascii="Times New Roman" w:cs="Times New Roman" w:eastAsia="Times New Roman" w:hAnsi="Times New Roman"/>
          <w:b w:val="false"/>
          <w:bCs w:val="false"/>
          <w:i w:val="false"/>
          <w:iCs w:val="false"/>
          <w:sz w:val="22"/>
          <w:szCs w:val="22"/>
        </w:rPr>
        <w:t xml:space="preserve">Guvensan, M. A., &amp; Yavuz, A. G. (2011). </w:t>
      </w:r>
      <w:r>
        <w:rPr>
          <w:rFonts w:ascii="Times New Roman" w:cs="Times New Roman" w:eastAsia="Times New Roman" w:hAnsi="Times New Roman"/>
          <w:b w:val="false"/>
          <w:bCs w:val="false"/>
          <w:i/>
          <w:iCs/>
          <w:sz w:val="22"/>
          <w:szCs w:val="22"/>
        </w:rPr>
        <w:t xml:space="preserve">On coverage issues in directional sensor networks: A survey. </w:t>
      </w:r>
      <w:r>
        <w:rPr>
          <w:rFonts w:ascii="Times New Roman" w:cs="Times New Roman" w:eastAsia="Times New Roman" w:hAnsi="Times New Roman"/>
          <w:b w:val="false"/>
          <w:bCs w:val="false"/>
          <w:i w:val="false"/>
          <w:iCs w:val="false"/>
          <w:sz w:val="22"/>
          <w:szCs w:val="22"/>
        </w:rPr>
        <w:t xml:space="preserve">Ad Hoc Networks, 9(7), 1238–1255.</w:t>
      </w:r>
    </w:p>
    <w:p>
      <w:pPr>
        <w:spacing w:after="120" w:line="300"/>
        <w:jc w:val="both"/>
      </w:pPr>
      <w:r>
        <w:rPr>
          <w:rFonts w:ascii="Times New Roman" w:cs="Times New Roman" w:eastAsia="Times New Roman" w:hAnsi="Times New Roman"/>
          <w:b w:val="false"/>
          <w:bCs w:val="false"/>
          <w:i w:val="false"/>
          <w:iCs w:val="false"/>
          <w:sz w:val="22"/>
          <w:szCs w:val="22"/>
        </w:rPr>
        <w:t xml:space="preserve">Han, X., Cao, X., Lloyd, E. L., &amp; Shen, C.-C. (2010). </w:t>
      </w:r>
      <w:r>
        <w:rPr>
          <w:rFonts w:ascii="Times New Roman" w:cs="Times New Roman" w:eastAsia="Times New Roman" w:hAnsi="Times New Roman"/>
          <w:b w:val="false"/>
          <w:bCs w:val="false"/>
          <w:i/>
          <w:iCs/>
          <w:sz w:val="22"/>
          <w:szCs w:val="22"/>
        </w:rPr>
        <w:t xml:space="preserve">Deploying directional sensor networks with guaranteed connectivity and coverage. </w:t>
      </w:r>
      <w:r>
        <w:rPr>
          <w:rFonts w:ascii="Times New Roman" w:cs="Times New Roman" w:eastAsia="Times New Roman" w:hAnsi="Times New Roman"/>
          <w:b w:val="false"/>
          <w:bCs w:val="false"/>
          <w:i w:val="false"/>
          <w:iCs w:val="false"/>
          <w:sz w:val="22"/>
          <w:szCs w:val="22"/>
        </w:rPr>
        <w:t xml:space="preserve">IEEE Transactions on Mobile Computing, 9(9), 1216–1228.</w:t>
      </w:r>
    </w:p>
    <w:p>
      <w:pPr>
        <w:spacing w:after="120" w:line="300"/>
        <w:jc w:val="both"/>
      </w:pPr>
      <w:r>
        <w:rPr>
          <w:rFonts w:ascii="Times New Roman" w:cs="Times New Roman" w:eastAsia="Times New Roman" w:hAnsi="Times New Roman"/>
          <w:b w:val="false"/>
          <w:bCs w:val="false"/>
          <w:i w:val="false"/>
          <w:iCs w:val="false"/>
          <w:sz w:val="22"/>
          <w:szCs w:val="22"/>
        </w:rPr>
        <w:t xml:space="preserve">Ha, D., Dai, A., &amp; Le, Q. V. (2017). </w:t>
      </w:r>
      <w:r>
        <w:rPr>
          <w:rFonts w:ascii="Times New Roman" w:cs="Times New Roman" w:eastAsia="Times New Roman" w:hAnsi="Times New Roman"/>
          <w:b w:val="false"/>
          <w:bCs w:val="false"/>
          <w:i/>
          <w:iCs/>
          <w:sz w:val="22"/>
          <w:szCs w:val="22"/>
        </w:rPr>
        <w:t xml:space="preserve">HyperNetworks. </w:t>
      </w:r>
      <w:r>
        <w:rPr>
          <w:rFonts w:ascii="Times New Roman" w:cs="Times New Roman" w:eastAsia="Times New Roman" w:hAnsi="Times New Roman"/>
          <w:b w:val="false"/>
          <w:bCs w:val="false"/>
          <w:i w:val="false"/>
          <w:iCs w:val="false"/>
          <w:sz w:val="22"/>
          <w:szCs w:val="22"/>
        </w:rPr>
        <w:t xml:space="preserve">International Conference on Learning Representations (ICLR). arXiv:1609.09106.</w:t>
      </w:r>
    </w:p>
    <w:p>
      <w:pPr>
        <w:spacing w:after="120" w:line="300"/>
        <w:jc w:val="both"/>
      </w:pPr>
      <w:r>
        <w:rPr>
          <w:rFonts w:ascii="Times New Roman" w:cs="Times New Roman" w:eastAsia="Times New Roman" w:hAnsi="Times New Roman"/>
          <w:b w:val="false"/>
          <w:bCs w:val="false"/>
          <w:i w:val="false"/>
          <w:iCs w:val="false"/>
          <w:sz w:val="22"/>
          <w:szCs w:val="22"/>
        </w:rPr>
        <w:t xml:space="preserve">Henderson, P., Islam, R., Bachman, P., Pineau, J., Precup, D., &amp; Meger, D. (2018). </w:t>
      </w:r>
      <w:r>
        <w:rPr>
          <w:rFonts w:ascii="Times New Roman" w:cs="Times New Roman" w:eastAsia="Times New Roman" w:hAnsi="Times New Roman"/>
          <w:b w:val="false"/>
          <w:bCs w:val="false"/>
          <w:i/>
          <w:iCs/>
          <w:sz w:val="22"/>
          <w:szCs w:val="22"/>
        </w:rPr>
        <w:t xml:space="preserve">Deep Reinforcement Learning that Matters. </w:t>
      </w:r>
      <w:r>
        <w:rPr>
          <w:rFonts w:ascii="Times New Roman" w:cs="Times New Roman" w:eastAsia="Times New Roman" w:hAnsi="Times New Roman"/>
          <w:b w:val="false"/>
          <w:bCs w:val="false"/>
          <w:i w:val="false"/>
          <w:iCs w:val="false"/>
          <w:sz w:val="22"/>
          <w:szCs w:val="22"/>
        </w:rPr>
        <w:t xml:space="preserve">Proceedings of the 32nd AAAI Conference on Artificial Intelligence.</w:t>
      </w:r>
    </w:p>
    <w:p>
      <w:pPr>
        <w:spacing w:after="120" w:line="300"/>
        <w:jc w:val="both"/>
      </w:pPr>
      <w:r>
        <w:rPr>
          <w:rFonts w:ascii="Times New Roman" w:cs="Times New Roman" w:eastAsia="Times New Roman" w:hAnsi="Times New Roman"/>
          <w:b w:val="false"/>
          <w:bCs w:val="false"/>
          <w:i w:val="false"/>
          <w:iCs w:val="false"/>
          <w:sz w:val="22"/>
          <w:szCs w:val="22"/>
        </w:rPr>
        <w:t xml:space="preserve">Kuhn, H. W. (1955). </w:t>
      </w:r>
      <w:r>
        <w:rPr>
          <w:rFonts w:ascii="Times New Roman" w:cs="Times New Roman" w:eastAsia="Times New Roman" w:hAnsi="Times New Roman"/>
          <w:b w:val="false"/>
          <w:bCs w:val="false"/>
          <w:i/>
          <w:iCs/>
          <w:sz w:val="22"/>
          <w:szCs w:val="22"/>
        </w:rPr>
        <w:t xml:space="preserve">The Hungarian Method for the Assignment Problem. </w:t>
      </w:r>
      <w:r>
        <w:rPr>
          <w:rFonts w:ascii="Times New Roman" w:cs="Times New Roman" w:eastAsia="Times New Roman" w:hAnsi="Times New Roman"/>
          <w:b w:val="false"/>
          <w:bCs w:val="false"/>
          <w:i w:val="false"/>
          <w:iCs w:val="false"/>
          <w:sz w:val="22"/>
          <w:szCs w:val="22"/>
        </w:rPr>
        <w:t xml:space="preserve">Naval Research Logistics Quarterly, 2(1–2), 83–97.</w:t>
      </w:r>
    </w:p>
    <w:p>
      <w:pPr>
        <w:spacing w:after="120" w:line="300"/>
        <w:jc w:val="both"/>
      </w:pPr>
      <w:r>
        <w:rPr>
          <w:rFonts w:ascii="Times New Roman" w:cs="Times New Roman" w:eastAsia="Times New Roman" w:hAnsi="Times New Roman"/>
          <w:b w:val="false"/>
          <w:bCs w:val="false"/>
          <w:i w:val="false"/>
          <w:iCs w:val="false"/>
          <w:sz w:val="22"/>
          <w:szCs w:val="22"/>
        </w:rPr>
        <w:t xml:space="preserve">Lowe, R., Wu, Y., Tamar, A., Harb, J., Abbeel, P., &amp; Mordatch, I. (2017). </w:t>
      </w:r>
      <w:r>
        <w:rPr>
          <w:rFonts w:ascii="Times New Roman" w:cs="Times New Roman" w:eastAsia="Times New Roman" w:hAnsi="Times New Roman"/>
          <w:b w:val="false"/>
          <w:bCs w:val="false"/>
          <w:i/>
          <w:iCs/>
          <w:sz w:val="22"/>
          <w:szCs w:val="22"/>
        </w:rPr>
        <w:t xml:space="preserve">Multi-Agent Actor-Critic for Mixed Cooperative-Competitive Environments (MADDPG). </w:t>
      </w:r>
      <w:r>
        <w:rPr>
          <w:rFonts w:ascii="Times New Roman" w:cs="Times New Roman" w:eastAsia="Times New Roman" w:hAnsi="Times New Roman"/>
          <w:b w:val="false"/>
          <w:bCs w:val="false"/>
          <w:i w:val="false"/>
          <w:iCs w:val="false"/>
          <w:sz w:val="22"/>
          <w:szCs w:val="22"/>
        </w:rPr>
        <w:t xml:space="preserve">Advances in Neural Information Processing Systems (NeurIPS).</w:t>
      </w:r>
    </w:p>
    <w:p>
      <w:pPr>
        <w:spacing w:after="120" w:line="300"/>
        <w:jc w:val="both"/>
      </w:pPr>
      <w:r>
        <w:rPr>
          <w:rFonts w:ascii="Times New Roman" w:cs="Times New Roman" w:eastAsia="Times New Roman" w:hAnsi="Times New Roman"/>
          <w:b w:val="false"/>
          <w:bCs w:val="false"/>
          <w:i w:val="false"/>
          <w:iCs w:val="false"/>
          <w:sz w:val="22"/>
          <w:szCs w:val="22"/>
        </w:rPr>
        <w:t xml:space="preserve">Liu, Z., Zhu, Y., &amp; Chen, C. (2023). </w:t>
      </w:r>
      <w:r>
        <w:rPr>
          <w:rFonts w:ascii="Times New Roman" w:cs="Times New Roman" w:eastAsia="Times New Roman" w:hAnsi="Times New Roman"/>
          <w:b w:val="false"/>
          <w:bCs w:val="false"/>
          <w:i/>
          <w:iCs/>
          <w:sz w:val="22"/>
          <w:szCs w:val="22"/>
        </w:rPr>
        <w:t xml:space="preserve">NA²Q: Neural Attention Additive Model for Interpretable Multi-Agent Q-Learning. </w:t>
      </w:r>
      <w:r>
        <w:rPr>
          <w:rFonts w:ascii="Times New Roman" w:cs="Times New Roman" w:eastAsia="Times New Roman" w:hAnsi="Times New Roman"/>
          <w:b w:val="false"/>
          <w:bCs w:val="false"/>
          <w:i w:val="false"/>
          <w:iCs w:val="false"/>
          <w:sz w:val="22"/>
          <w:szCs w:val="22"/>
        </w:rPr>
        <w:t xml:space="preserve">Proceedings of the 40th International Conference on Machine Learning (ICML).</w:t>
      </w:r>
    </w:p>
    <w:p>
      <w:pPr>
        <w:spacing w:after="120" w:line="300"/>
        <w:jc w:val="both"/>
      </w:pPr>
      <w:r>
        <w:rPr>
          <w:rFonts w:ascii="Times New Roman" w:cs="Times New Roman" w:eastAsia="Times New Roman" w:hAnsi="Times New Roman"/>
          <w:b w:val="false"/>
          <w:bCs w:val="false"/>
          <w:i w:val="false"/>
          <w:iCs w:val="false"/>
          <w:sz w:val="22"/>
          <w:szCs w:val="22"/>
        </w:rPr>
        <w:t xml:space="preserve">Liu, Z. (2023). </w:t>
      </w:r>
      <w:r>
        <w:rPr>
          <w:rFonts w:ascii="Times New Roman" w:cs="Times New Roman" w:eastAsia="Times New Roman" w:hAnsi="Times New Roman"/>
          <w:b w:val="false"/>
          <w:bCs w:val="false"/>
          <w:i/>
          <w:iCs/>
          <w:sz w:val="22"/>
          <w:szCs w:val="22"/>
        </w:rPr>
        <w:t xml:space="preserve">NA2Q: Official PyTorch implementation [GitHub repository]. </w:t>
      </w:r>
      <w:r>
        <w:rPr>
          <w:rFonts w:ascii="Times New Roman" w:cs="Times New Roman" w:eastAsia="Times New Roman" w:hAnsi="Times New Roman"/>
          <w:b w:val="false"/>
          <w:bCs w:val="false"/>
          <w:i w:val="false"/>
          <w:iCs w:val="false"/>
          <w:sz w:val="22"/>
          <w:szCs w:val="22"/>
        </w:rPr>
        <w:t xml:space="preserve">https://github.com/zichuan-liu/NA2Q</w:t>
      </w:r>
    </w:p>
    <w:p>
      <w:pPr>
        <w:spacing w:after="120" w:line="300"/>
        <w:jc w:val="both"/>
      </w:pPr>
      <w:r>
        <w:rPr>
          <w:rFonts w:ascii="Times New Roman" w:cs="Times New Roman" w:eastAsia="Times New Roman" w:hAnsi="Times New Roman"/>
          <w:b w:val="false"/>
          <w:bCs w:val="false"/>
          <w:i w:val="false"/>
          <w:iCs w:val="false"/>
          <w:sz w:val="22"/>
          <w:szCs w:val="22"/>
        </w:rPr>
        <w:t xml:space="preserve">Mnih, V., Kavukcuoglu, K., Silver, D., et al. (2015). </w:t>
      </w:r>
      <w:r>
        <w:rPr>
          <w:rFonts w:ascii="Times New Roman" w:cs="Times New Roman" w:eastAsia="Times New Roman" w:hAnsi="Times New Roman"/>
          <w:b w:val="false"/>
          <w:bCs w:val="false"/>
          <w:i/>
          <w:iCs/>
          <w:sz w:val="22"/>
          <w:szCs w:val="22"/>
        </w:rPr>
        <w:t xml:space="preserve">Human-level control through deep reinforcement learning. </w:t>
      </w:r>
      <w:r>
        <w:rPr>
          <w:rFonts w:ascii="Times New Roman" w:cs="Times New Roman" w:eastAsia="Times New Roman" w:hAnsi="Times New Roman"/>
          <w:b w:val="false"/>
          <w:bCs w:val="false"/>
          <w:i w:val="false"/>
          <w:iCs w:val="false"/>
          <w:sz w:val="22"/>
          <w:szCs w:val="22"/>
        </w:rPr>
        <w:t xml:space="preserve">Nature, 518(7540), 529–533.</w:t>
      </w:r>
    </w:p>
    <w:p>
      <w:pPr>
        <w:spacing w:after="120" w:line="300"/>
        <w:jc w:val="both"/>
      </w:pPr>
      <w:r>
        <w:rPr>
          <w:rFonts w:ascii="Times New Roman" w:cs="Times New Roman" w:eastAsia="Times New Roman" w:hAnsi="Times New Roman"/>
          <w:b w:val="false"/>
          <w:bCs w:val="false"/>
          <w:i w:val="false"/>
          <w:iCs w:val="false"/>
          <w:sz w:val="22"/>
          <w:szCs w:val="22"/>
        </w:rPr>
        <w:t xml:space="preserve">Mnih, V., Badia, A. P., Mirza, M., Graves, A., Lillicrap, T., Harley, T., Silver, D., &amp; Kavukcuoglu, K. (2016). </w:t>
      </w:r>
      <w:r>
        <w:rPr>
          <w:rFonts w:ascii="Times New Roman" w:cs="Times New Roman" w:eastAsia="Times New Roman" w:hAnsi="Times New Roman"/>
          <w:b w:val="false"/>
          <w:bCs w:val="false"/>
          <w:i/>
          <w:iCs/>
          <w:sz w:val="22"/>
          <w:szCs w:val="22"/>
        </w:rPr>
        <w:t xml:space="preserve">Asynchronous Methods for Deep Reinforcement Learning. </w:t>
      </w:r>
      <w:r>
        <w:rPr>
          <w:rFonts w:ascii="Times New Roman" w:cs="Times New Roman" w:eastAsia="Times New Roman" w:hAnsi="Times New Roman"/>
          <w:b w:val="false"/>
          <w:bCs w:val="false"/>
          <w:i w:val="false"/>
          <w:iCs w:val="false"/>
          <w:sz w:val="22"/>
          <w:szCs w:val="22"/>
        </w:rPr>
        <w:t xml:space="preserve">Proceedings of the 33rd International Conference on Machine Learning (ICML).</w:t>
      </w:r>
    </w:p>
    <w:p>
      <w:pPr>
        <w:spacing w:after="120" w:line="300"/>
        <w:jc w:val="both"/>
      </w:pPr>
      <w:r>
        <w:rPr>
          <w:rFonts w:ascii="Times New Roman" w:cs="Times New Roman" w:eastAsia="Times New Roman" w:hAnsi="Times New Roman"/>
          <w:b w:val="false"/>
          <w:bCs w:val="false"/>
          <w:i w:val="false"/>
          <w:iCs w:val="false"/>
          <w:sz w:val="22"/>
          <w:szCs w:val="22"/>
        </w:rPr>
        <w:t xml:space="preserve">Papoudakis, G., Christianos, F., Schäfer, L., &amp; Albrecht, S. V. (2021). </w:t>
      </w:r>
      <w:r>
        <w:rPr>
          <w:rFonts w:ascii="Times New Roman" w:cs="Times New Roman" w:eastAsia="Times New Roman" w:hAnsi="Times New Roman"/>
          <w:b w:val="false"/>
          <w:bCs w:val="false"/>
          <w:i/>
          <w:iCs/>
          <w:sz w:val="22"/>
          <w:szCs w:val="22"/>
        </w:rPr>
        <w:t xml:space="preserve">Benchmarking Multi-Agent Deep Reinforcement Learning Algorithms in Cooperative Tasks. </w:t>
      </w:r>
      <w:r>
        <w:rPr>
          <w:rFonts w:ascii="Times New Roman" w:cs="Times New Roman" w:eastAsia="Times New Roman" w:hAnsi="Times New Roman"/>
          <w:b w:val="false"/>
          <w:bCs w:val="false"/>
          <w:i w:val="false"/>
          <w:iCs w:val="false"/>
          <w:sz w:val="22"/>
          <w:szCs w:val="22"/>
        </w:rPr>
        <w:t xml:space="preserve">NeurIPS Datasets and Benchmarks Track. arXiv:2006.07869.</w:t>
      </w:r>
    </w:p>
    <w:p>
      <w:pPr>
        <w:spacing w:after="120" w:line="300"/>
        <w:jc w:val="both"/>
      </w:pPr>
      <w:r>
        <w:rPr>
          <w:rFonts w:ascii="Times New Roman" w:cs="Times New Roman" w:eastAsia="Times New Roman" w:hAnsi="Times New Roman"/>
          <w:b w:val="false"/>
          <w:bCs w:val="false"/>
          <w:i w:val="false"/>
          <w:iCs w:val="false"/>
          <w:sz w:val="22"/>
          <w:szCs w:val="22"/>
        </w:rPr>
        <w:t xml:space="preserve">Pascanu, R., Mikolov, T., &amp; Bengio, Y. (2013). </w:t>
      </w:r>
      <w:r>
        <w:rPr>
          <w:rFonts w:ascii="Times New Roman" w:cs="Times New Roman" w:eastAsia="Times New Roman" w:hAnsi="Times New Roman"/>
          <w:b w:val="false"/>
          <w:bCs w:val="false"/>
          <w:i/>
          <w:iCs/>
          <w:sz w:val="22"/>
          <w:szCs w:val="22"/>
        </w:rPr>
        <w:t xml:space="preserve">On the difficulty of training recurrent neural networks. </w:t>
      </w:r>
      <w:r>
        <w:rPr>
          <w:rFonts w:ascii="Times New Roman" w:cs="Times New Roman" w:eastAsia="Times New Roman" w:hAnsi="Times New Roman"/>
          <w:b w:val="false"/>
          <w:bCs w:val="false"/>
          <w:i w:val="false"/>
          <w:iCs w:val="false"/>
          <w:sz w:val="22"/>
          <w:szCs w:val="22"/>
        </w:rPr>
        <w:t xml:space="preserve">Proceedings of the 30th International Conference on Machine Learning (ICML).</w:t>
      </w:r>
    </w:p>
    <w:p>
      <w:pPr>
        <w:spacing w:after="120" w:line="300"/>
        <w:jc w:val="both"/>
      </w:pPr>
      <w:r>
        <w:rPr>
          <w:rFonts w:ascii="Times New Roman" w:cs="Times New Roman" w:eastAsia="Times New Roman" w:hAnsi="Times New Roman"/>
          <w:b w:val="false"/>
          <w:bCs w:val="false"/>
          <w:i w:val="false"/>
          <w:iCs w:val="false"/>
          <w:sz w:val="22"/>
          <w:szCs w:val="22"/>
        </w:rPr>
        <w:t xml:space="preserve">Rashid, T., Samvelyan, M., Schroeder de Witt, C., Farquhar, G., Foerster, J., &amp; Whiteson, S. (2018). </w:t>
      </w:r>
      <w:r>
        <w:rPr>
          <w:rFonts w:ascii="Times New Roman" w:cs="Times New Roman" w:eastAsia="Times New Roman" w:hAnsi="Times New Roman"/>
          <w:b w:val="false"/>
          <w:bCs w:val="false"/>
          <w:i/>
          <w:iCs/>
          <w:sz w:val="22"/>
          <w:szCs w:val="22"/>
        </w:rPr>
        <w:t xml:space="preserve">QMIX: Monotonic Value Function Factorisation for Deep Multi-Agent Reinforcement Learning. </w:t>
      </w:r>
      <w:r>
        <w:rPr>
          <w:rFonts w:ascii="Times New Roman" w:cs="Times New Roman" w:eastAsia="Times New Roman" w:hAnsi="Times New Roman"/>
          <w:b w:val="false"/>
          <w:bCs w:val="false"/>
          <w:i w:val="false"/>
          <w:iCs w:val="false"/>
          <w:sz w:val="22"/>
          <w:szCs w:val="22"/>
        </w:rPr>
        <w:t xml:space="preserve">Proceedings of the 35th International Conference on Machine Learning (ICML). arXiv:1803.11485.</w:t>
      </w:r>
    </w:p>
    <w:p>
      <w:pPr>
        <w:spacing w:after="120" w:line="300"/>
        <w:jc w:val="both"/>
      </w:pPr>
      <w:r>
        <w:rPr>
          <w:rFonts w:ascii="Times New Roman" w:cs="Times New Roman" w:eastAsia="Times New Roman" w:hAnsi="Times New Roman"/>
          <w:b w:val="false"/>
          <w:bCs w:val="false"/>
          <w:i w:val="false"/>
          <w:iCs w:val="false"/>
          <w:sz w:val="22"/>
          <w:szCs w:val="22"/>
        </w:rPr>
        <w:t xml:space="preserve">Samvelyan, M., Rashid, T., Schroeder de Witt, C., et al. (2019). </w:t>
      </w:r>
      <w:r>
        <w:rPr>
          <w:rFonts w:ascii="Times New Roman" w:cs="Times New Roman" w:eastAsia="Times New Roman" w:hAnsi="Times New Roman"/>
          <w:b w:val="false"/>
          <w:bCs w:val="false"/>
          <w:i/>
          <w:iCs/>
          <w:sz w:val="22"/>
          <w:szCs w:val="22"/>
        </w:rPr>
        <w:t xml:space="preserve">The StarCraft Multi-Agent Challenge. </w:t>
      </w:r>
      <w:r>
        <w:rPr>
          <w:rFonts w:ascii="Times New Roman" w:cs="Times New Roman" w:eastAsia="Times New Roman" w:hAnsi="Times New Roman"/>
          <w:b w:val="false"/>
          <w:bCs w:val="false"/>
          <w:i w:val="false"/>
          <w:iCs w:val="false"/>
          <w:sz w:val="22"/>
          <w:szCs w:val="22"/>
        </w:rPr>
        <w:t xml:space="preserve">Proceedings of the 18th International Conference on Autonomous Agents and Multiagent Systems (AAMAS). arXiv:1902.04043.</w:t>
      </w:r>
    </w:p>
    <w:p>
      <w:pPr>
        <w:spacing w:after="120" w:line="300"/>
        <w:jc w:val="both"/>
      </w:pPr>
      <w:r>
        <w:rPr>
          <w:rFonts w:ascii="Times New Roman" w:cs="Times New Roman" w:eastAsia="Times New Roman" w:hAnsi="Times New Roman"/>
          <w:b w:val="false"/>
          <w:bCs w:val="false"/>
          <w:i w:val="false"/>
          <w:iCs w:val="false"/>
          <w:sz w:val="22"/>
          <w:szCs w:val="22"/>
        </w:rPr>
        <w:t xml:space="preserve">Shapley, L. S. (1953). </w:t>
      </w:r>
      <w:r>
        <w:rPr>
          <w:rFonts w:ascii="Times New Roman" w:cs="Times New Roman" w:eastAsia="Times New Roman" w:hAnsi="Times New Roman"/>
          <w:b w:val="false"/>
          <w:bCs w:val="false"/>
          <w:i/>
          <w:iCs/>
          <w:sz w:val="22"/>
          <w:szCs w:val="22"/>
        </w:rPr>
        <w:t xml:space="preserve">A value for n-person games. </w:t>
      </w:r>
      <w:r>
        <w:rPr>
          <w:rFonts w:ascii="Times New Roman" w:cs="Times New Roman" w:eastAsia="Times New Roman" w:hAnsi="Times New Roman"/>
          <w:b w:val="false"/>
          <w:bCs w:val="false"/>
          <w:i w:val="false"/>
          <w:iCs w:val="false"/>
          <w:sz w:val="22"/>
          <w:szCs w:val="22"/>
        </w:rPr>
        <w:t xml:space="preserve">In Contributions to the Theory of Games (Vol. 2), Princeton University Press, 307–317.</w:t>
      </w:r>
    </w:p>
    <w:p>
      <w:pPr>
        <w:spacing w:after="120" w:line="300"/>
        <w:jc w:val="both"/>
      </w:pPr>
      <w:r>
        <w:rPr>
          <w:rFonts w:ascii="Times New Roman" w:cs="Times New Roman" w:eastAsia="Times New Roman" w:hAnsi="Times New Roman"/>
          <w:b w:val="false"/>
          <w:bCs w:val="false"/>
          <w:i w:val="false"/>
          <w:iCs w:val="false"/>
          <w:sz w:val="22"/>
          <w:szCs w:val="22"/>
        </w:rPr>
        <w:t xml:space="preserve">Son, K., Kim, D., Kang, W. J., Hostallero, D. E., &amp; Yi, Y. (2019). </w:t>
      </w:r>
      <w:r>
        <w:rPr>
          <w:rFonts w:ascii="Times New Roman" w:cs="Times New Roman" w:eastAsia="Times New Roman" w:hAnsi="Times New Roman"/>
          <w:b w:val="false"/>
          <w:bCs w:val="false"/>
          <w:i/>
          <w:iCs/>
          <w:sz w:val="22"/>
          <w:szCs w:val="22"/>
        </w:rPr>
        <w:t xml:space="preserve">QTRAN: Learning to Factorize with Transformation for Cooperative Multi-Agent Reinforcement Learning. </w:t>
      </w:r>
      <w:r>
        <w:rPr>
          <w:rFonts w:ascii="Times New Roman" w:cs="Times New Roman" w:eastAsia="Times New Roman" w:hAnsi="Times New Roman"/>
          <w:b w:val="false"/>
          <w:bCs w:val="false"/>
          <w:i w:val="false"/>
          <w:iCs w:val="false"/>
          <w:sz w:val="22"/>
          <w:szCs w:val="22"/>
        </w:rPr>
        <w:t xml:space="preserve">Proceedings of the 36th International Conference on Machine Learning (ICML).</w:t>
      </w:r>
    </w:p>
    <w:p>
      <w:pPr>
        <w:spacing w:after="120" w:line="300"/>
        <w:jc w:val="both"/>
      </w:pPr>
      <w:r>
        <w:rPr>
          <w:rFonts w:ascii="Times New Roman" w:cs="Times New Roman" w:eastAsia="Times New Roman" w:hAnsi="Times New Roman"/>
          <w:b w:val="false"/>
          <w:bCs w:val="false"/>
          <w:i w:val="false"/>
          <w:iCs w:val="false"/>
          <w:sz w:val="22"/>
          <w:szCs w:val="22"/>
        </w:rPr>
        <w:t xml:space="preserve">Sunehag, P., Lever, G., Gruslys, A., et al. (2018). </w:t>
      </w:r>
      <w:r>
        <w:rPr>
          <w:rFonts w:ascii="Times New Roman" w:cs="Times New Roman" w:eastAsia="Times New Roman" w:hAnsi="Times New Roman"/>
          <w:b w:val="false"/>
          <w:bCs w:val="false"/>
          <w:i/>
          <w:iCs/>
          <w:sz w:val="22"/>
          <w:szCs w:val="22"/>
        </w:rPr>
        <w:t xml:space="preserve">Value-Decomposition Networks for Cooperative Multi-Agent Learning Based on Team Reward. </w:t>
      </w:r>
      <w:r>
        <w:rPr>
          <w:rFonts w:ascii="Times New Roman" w:cs="Times New Roman" w:eastAsia="Times New Roman" w:hAnsi="Times New Roman"/>
          <w:b w:val="false"/>
          <w:bCs w:val="false"/>
          <w:i w:val="false"/>
          <w:iCs w:val="false"/>
          <w:sz w:val="22"/>
          <w:szCs w:val="22"/>
        </w:rPr>
        <w:t xml:space="preserve">Proceedings of the 17th International Conference on Autonomous Agents and Multiagent Systems (AAMAS).</w:t>
      </w:r>
    </w:p>
    <w:p>
      <w:pPr>
        <w:spacing w:after="120" w:line="300"/>
        <w:jc w:val="both"/>
      </w:pPr>
      <w:r>
        <w:rPr>
          <w:rFonts w:ascii="Times New Roman" w:cs="Times New Roman" w:eastAsia="Times New Roman" w:hAnsi="Times New Roman"/>
          <w:b w:val="false"/>
          <w:bCs w:val="false"/>
          <w:i w:val="false"/>
          <w:iCs w:val="false"/>
          <w:sz w:val="22"/>
          <w:szCs w:val="22"/>
        </w:rPr>
        <w:t xml:space="preserve">Tan, M. (1993). </w:t>
      </w:r>
      <w:r>
        <w:rPr>
          <w:rFonts w:ascii="Times New Roman" w:cs="Times New Roman" w:eastAsia="Times New Roman" w:hAnsi="Times New Roman"/>
          <w:b w:val="false"/>
          <w:bCs w:val="false"/>
          <w:i/>
          <w:iCs/>
          <w:sz w:val="22"/>
          <w:szCs w:val="22"/>
        </w:rPr>
        <w:t xml:space="preserve">Multi-Agent Reinforcement Learning: Independent vs. Cooperative Agents. </w:t>
      </w:r>
      <w:r>
        <w:rPr>
          <w:rFonts w:ascii="Times New Roman" w:cs="Times New Roman" w:eastAsia="Times New Roman" w:hAnsi="Times New Roman"/>
          <w:b w:val="false"/>
          <w:bCs w:val="false"/>
          <w:i w:val="false"/>
          <w:iCs w:val="false"/>
          <w:sz w:val="22"/>
          <w:szCs w:val="22"/>
        </w:rPr>
        <w:t xml:space="preserve">Proceedings of the 10th International Conference on Machine Learning (ICML).</w:t>
      </w:r>
    </w:p>
    <w:p>
      <w:pPr>
        <w:spacing w:after="120" w:line="300"/>
        <w:jc w:val="both"/>
      </w:pPr>
      <w:r>
        <w:rPr>
          <w:rFonts w:ascii="Times New Roman" w:cs="Times New Roman" w:eastAsia="Times New Roman" w:hAnsi="Times New Roman"/>
          <w:b w:val="false"/>
          <w:bCs w:val="false"/>
          <w:i w:val="false"/>
          <w:iCs w:val="false"/>
          <w:sz w:val="22"/>
          <w:szCs w:val="22"/>
        </w:rPr>
        <w:t xml:space="preserve">Vaswani, A., Shazeer, N., Parmar, N., Uszkoreit, J., Jones, L., Gomez, A. N., Kaiser, Ł., &amp; Polosukhin, I. (2017). </w:t>
      </w:r>
      <w:r>
        <w:rPr>
          <w:rFonts w:ascii="Times New Roman" w:cs="Times New Roman" w:eastAsia="Times New Roman" w:hAnsi="Times New Roman"/>
          <w:b w:val="false"/>
          <w:bCs w:val="false"/>
          <w:i/>
          <w:iCs/>
          <w:sz w:val="22"/>
          <w:szCs w:val="22"/>
        </w:rPr>
        <w:t xml:space="preserve">Attention Is All You Need. </w:t>
      </w:r>
      <w:r>
        <w:rPr>
          <w:rFonts w:ascii="Times New Roman" w:cs="Times New Roman" w:eastAsia="Times New Roman" w:hAnsi="Times New Roman"/>
          <w:b w:val="false"/>
          <w:bCs w:val="false"/>
          <w:i w:val="false"/>
          <w:iCs w:val="false"/>
          <w:sz w:val="22"/>
          <w:szCs w:val="22"/>
        </w:rPr>
        <w:t xml:space="preserve">Advances in Neural Information Processing Systems (NeurIPS).</w:t>
      </w:r>
    </w:p>
    <w:p>
      <w:pPr>
        <w:spacing w:after="120" w:line="300"/>
        <w:jc w:val="both"/>
      </w:pPr>
      <w:r>
        <w:rPr>
          <w:rFonts w:ascii="Times New Roman" w:cs="Times New Roman" w:eastAsia="Times New Roman" w:hAnsi="Times New Roman"/>
          <w:b w:val="false"/>
          <w:bCs w:val="false"/>
          <w:i w:val="false"/>
          <w:iCs w:val="false"/>
          <w:sz w:val="22"/>
          <w:szCs w:val="22"/>
        </w:rPr>
        <w:t xml:space="preserve">Wang, J., Ren, Z., Liu, T., Yu, Y., &amp; Zhang, C. (2021). </w:t>
      </w:r>
      <w:r>
        <w:rPr>
          <w:rFonts w:ascii="Times New Roman" w:cs="Times New Roman" w:eastAsia="Times New Roman" w:hAnsi="Times New Roman"/>
          <w:b w:val="false"/>
          <w:bCs w:val="false"/>
          <w:i/>
          <w:iCs/>
          <w:sz w:val="22"/>
          <w:szCs w:val="22"/>
        </w:rPr>
        <w:t xml:space="preserve">QPLEX: Duplex Dueling Multi-Agent Q-Learning. </w:t>
      </w:r>
      <w:r>
        <w:rPr>
          <w:rFonts w:ascii="Times New Roman" w:cs="Times New Roman" w:eastAsia="Times New Roman" w:hAnsi="Times New Roman"/>
          <w:b w:val="false"/>
          <w:bCs w:val="false"/>
          <w:i w:val="false"/>
          <w:iCs w:val="false"/>
          <w:sz w:val="22"/>
          <w:szCs w:val="22"/>
        </w:rPr>
        <w:t xml:space="preserve">International Conference on Learning Representations (ICLR). arXiv:2008.01062.</w:t>
      </w:r>
    </w:p>
    <w:p>
      <w:pPr>
        <w:spacing w:after="120" w:line="300"/>
        <w:jc w:val="both"/>
      </w:pPr>
      <w:r>
        <w:rPr>
          <w:rFonts w:ascii="Times New Roman" w:cs="Times New Roman" w:eastAsia="Times New Roman" w:hAnsi="Times New Roman"/>
          <w:b w:val="false"/>
          <w:bCs w:val="false"/>
          <w:i w:val="false"/>
          <w:iCs w:val="false"/>
          <w:sz w:val="22"/>
          <w:szCs w:val="22"/>
        </w:rPr>
        <w:t xml:space="preserve">Wang, J., Zhang, Y., Kim, T.-K., &amp; Gu, Y. (2020). </w:t>
      </w:r>
      <w:r>
        <w:rPr>
          <w:rFonts w:ascii="Times New Roman" w:cs="Times New Roman" w:eastAsia="Times New Roman" w:hAnsi="Times New Roman"/>
          <w:b w:val="false"/>
          <w:bCs w:val="false"/>
          <w:i/>
          <w:iCs/>
          <w:sz w:val="22"/>
          <w:szCs w:val="22"/>
        </w:rPr>
        <w:t xml:space="preserve">Shapley Q-value: A Local Reward Approach to Solve Global Reward Games (SQDDPG). </w:t>
      </w:r>
      <w:r>
        <w:rPr>
          <w:rFonts w:ascii="Times New Roman" w:cs="Times New Roman" w:eastAsia="Times New Roman" w:hAnsi="Times New Roman"/>
          <w:b w:val="false"/>
          <w:bCs w:val="false"/>
          <w:i w:val="false"/>
          <w:iCs w:val="false"/>
          <w:sz w:val="22"/>
          <w:szCs w:val="22"/>
        </w:rPr>
        <w:t xml:space="preserve">Proceedings of the 34th AAAI Conference on Artificial Intelligence.</w:t>
      </w:r>
    </w:p>
    <w:p>
      <w:pPr>
        <w:spacing w:after="120" w:line="300"/>
        <w:jc w:val="both"/>
      </w:pPr>
      <w:r>
        <w:rPr>
          <w:rFonts w:ascii="Times New Roman" w:cs="Times New Roman" w:eastAsia="Times New Roman" w:hAnsi="Times New Roman"/>
          <w:b w:val="false"/>
          <w:bCs w:val="false"/>
          <w:i w:val="false"/>
          <w:iCs w:val="false"/>
          <w:sz w:val="22"/>
          <w:szCs w:val="22"/>
        </w:rPr>
        <w:t xml:space="preserve">Williams, R. J., &amp; Peng, J. (1991). </w:t>
      </w:r>
      <w:r>
        <w:rPr>
          <w:rFonts w:ascii="Times New Roman" w:cs="Times New Roman" w:eastAsia="Times New Roman" w:hAnsi="Times New Roman"/>
          <w:b w:val="false"/>
          <w:bCs w:val="false"/>
          <w:i/>
          <w:iCs/>
          <w:sz w:val="22"/>
          <w:szCs w:val="22"/>
        </w:rPr>
        <w:t xml:space="preserve">Function optimisation using connectionist reinforcement learning algorithms. </w:t>
      </w:r>
      <w:r>
        <w:rPr>
          <w:rFonts w:ascii="Times New Roman" w:cs="Times New Roman" w:eastAsia="Times New Roman" w:hAnsi="Times New Roman"/>
          <w:b w:val="false"/>
          <w:bCs w:val="false"/>
          <w:i w:val="false"/>
          <w:iCs w:val="false"/>
          <w:sz w:val="22"/>
          <w:szCs w:val="22"/>
        </w:rPr>
        <w:t xml:space="preserve">Connection Science, 3(3), 241–268.</w:t>
      </w:r>
    </w:p>
    <w:p>
      <w:pPr>
        <w:spacing w:after="120" w:line="300"/>
        <w:jc w:val="both"/>
      </w:pPr>
      <w:r>
        <w:rPr>
          <w:rFonts w:ascii="Times New Roman" w:cs="Times New Roman" w:eastAsia="Times New Roman" w:hAnsi="Times New Roman"/>
          <w:b w:val="false"/>
          <w:bCs w:val="false"/>
          <w:i w:val="false"/>
          <w:iCs w:val="false"/>
          <w:sz w:val="22"/>
          <w:szCs w:val="22"/>
        </w:rPr>
        <w:t xml:space="preserve">Xu, J., Zhong, F., &amp; Wang, Y. (2020). </w:t>
      </w:r>
      <w:r>
        <w:rPr>
          <w:rFonts w:ascii="Times New Roman" w:cs="Times New Roman" w:eastAsia="Times New Roman" w:hAnsi="Times New Roman"/>
          <w:b w:val="false"/>
          <w:bCs w:val="false"/>
          <w:i/>
          <w:iCs/>
          <w:sz w:val="22"/>
          <w:szCs w:val="22"/>
        </w:rPr>
        <w:t xml:space="preserve">Learning Multi-Agent Coordination for Enhancing Target Coverage in Directional Sensor Networks. </w:t>
      </w:r>
      <w:r>
        <w:rPr>
          <w:rFonts w:ascii="Times New Roman" w:cs="Times New Roman" w:eastAsia="Times New Roman" w:hAnsi="Times New Roman"/>
          <w:b w:val="false"/>
          <w:bCs w:val="false"/>
          <w:i w:val="false"/>
          <w:iCs w:val="false"/>
          <w:sz w:val="22"/>
          <w:szCs w:val="22"/>
        </w:rPr>
        <w:t xml:space="preserve">Advances in Neural Information Processing Systems (NeurIPS). arXiv:2010.13110.</w:t>
      </w:r>
    </w:p>
    <w:p>
      <w:pPr>
        <w:spacing w:after="120" w:line="300"/>
        <w:jc w:val="both"/>
      </w:pPr>
      <w:r>
        <w:rPr>
          <w:rFonts w:ascii="Times New Roman" w:cs="Times New Roman" w:eastAsia="Times New Roman" w:hAnsi="Times New Roman"/>
          <w:b w:val="false"/>
          <w:bCs w:val="false"/>
          <w:i w:val="false"/>
          <w:iCs w:val="false"/>
          <w:sz w:val="22"/>
          <w:szCs w:val="22"/>
        </w:rPr>
        <w:t xml:space="preserve">Xu, J. (2020). </w:t>
      </w:r>
      <w:r>
        <w:rPr>
          <w:rFonts w:ascii="Times New Roman" w:cs="Times New Roman" w:eastAsia="Times New Roman" w:hAnsi="Times New Roman"/>
          <w:b w:val="false"/>
          <w:bCs w:val="false"/>
          <w:i/>
          <w:iCs/>
          <w:sz w:val="22"/>
          <w:szCs w:val="22"/>
        </w:rPr>
        <w:t xml:space="preserve">HiT-MAC: Official implementation [GitHub repository]. </w:t>
      </w:r>
      <w:r>
        <w:rPr>
          <w:rFonts w:ascii="Times New Roman" w:cs="Times New Roman" w:eastAsia="Times New Roman" w:hAnsi="Times New Roman"/>
          <w:b w:val="false"/>
          <w:bCs w:val="false"/>
          <w:i w:val="false"/>
          <w:iCs w:val="false"/>
          <w:sz w:val="22"/>
          <w:szCs w:val="22"/>
        </w:rPr>
        <w:t xml:space="preserve">https://github.com/XuJing1022/HiT-MAC</w:t>
      </w:r>
    </w:p>
    <w:p>
      <w:pPr>
        <w:spacing w:after="120" w:line="300"/>
        <w:jc w:val="both"/>
      </w:pPr>
      <w:r>
        <w:rPr>
          <w:rFonts w:ascii="Times New Roman" w:cs="Times New Roman" w:eastAsia="Times New Roman" w:hAnsi="Times New Roman"/>
          <w:b w:val="false"/>
          <w:bCs w:val="false"/>
          <w:i w:val="false"/>
          <w:iCs w:val="false"/>
          <w:sz w:val="22"/>
          <w:szCs w:val="22"/>
        </w:rPr>
        <w:t xml:space="preserve">Yarinezhad, R., &amp; Hashemi, S. N. (2020). </w:t>
      </w:r>
      <w:r>
        <w:rPr>
          <w:rFonts w:ascii="Times New Roman" w:cs="Times New Roman" w:eastAsia="Times New Roman" w:hAnsi="Times New Roman"/>
          <w:b w:val="false"/>
          <w:bCs w:val="false"/>
          <w:i/>
          <w:iCs/>
          <w:sz w:val="22"/>
          <w:szCs w:val="22"/>
        </w:rPr>
        <w:t xml:space="preserve">A particle-swarm-optimisation-based scheduling algorithm for target coverage in directional sensor networks. </w:t>
      </w:r>
      <w:r>
        <w:rPr>
          <w:rFonts w:ascii="Times New Roman" w:cs="Times New Roman" w:eastAsia="Times New Roman" w:hAnsi="Times New Roman"/>
          <w:b w:val="false"/>
          <w:bCs w:val="false"/>
          <w:i w:val="false"/>
          <w:iCs w:val="false"/>
          <w:sz w:val="22"/>
          <w:szCs w:val="22"/>
        </w:rPr>
        <w:t xml:space="preserve">Wireless Networks, 26(8), 6101–6116.</w:t>
      </w:r>
    </w:p>
    <w:p>
      <w:pPr>
        <w:spacing w:after="120" w:line="300"/>
        <w:jc w:val="both"/>
      </w:pPr>
      <w:r>
        <w:rPr>
          <w:rFonts w:ascii="Times New Roman" w:cs="Times New Roman" w:eastAsia="Times New Roman" w:hAnsi="Times New Roman"/>
          <w:b w:val="false"/>
          <w:bCs w:val="false"/>
          <w:i w:val="false"/>
          <w:iCs w:val="false"/>
          <w:sz w:val="22"/>
          <w:szCs w:val="22"/>
        </w:rPr>
        <w:t xml:space="preserve">Yu, C., Velu, A., Vinitsky, E., Wang, Y., Bayen, A., &amp; Wu, Y. (2022). </w:t>
      </w:r>
      <w:r>
        <w:rPr>
          <w:rFonts w:ascii="Times New Roman" w:cs="Times New Roman" w:eastAsia="Times New Roman" w:hAnsi="Times New Roman"/>
          <w:b w:val="false"/>
          <w:bCs w:val="false"/>
          <w:i/>
          <w:iCs/>
          <w:sz w:val="22"/>
          <w:szCs w:val="22"/>
        </w:rPr>
        <w:t xml:space="preserve">The Surprising Effectiveness of PPO in Cooperative Multi-Agent Games (MAPPO). </w:t>
      </w:r>
      <w:r>
        <w:rPr>
          <w:rFonts w:ascii="Times New Roman" w:cs="Times New Roman" w:eastAsia="Times New Roman" w:hAnsi="Times New Roman"/>
          <w:b w:val="false"/>
          <w:bCs w:val="false"/>
          <w:i w:val="false"/>
          <w:iCs w:val="false"/>
          <w:sz w:val="22"/>
          <w:szCs w:val="22"/>
        </w:rPr>
        <w:t xml:space="preserve">Advances in Neural Information Processing Systems (NeurIPS) Datasets and Benchmarks Track.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Times New Roman" w:cs="Times New Roman" w:eastAsia="Times New Roman" w:hAnsi="Times New Roman"/>
        <w:color w:val="666666"/>
        <w:sz w:val="18"/>
        <w:szCs w:val="18"/>
      </w:rPr>
      <w:t xml:space="preserve">Special Subject Report · May 2026</w:t>
    </w:r>
    <w:r>
      <w:rPr>
        <w:rFonts w:ascii="Times New Roman" w:cs="Times New Roman" w:eastAsia="Times New Roman" w:hAnsi="Times New Roman"/>
        <w:sz w:val="18"/>
        <w:szCs w:val="18"/>
      </w:rPr>
      <w:t xml:space="preserve">	</w:t>
    </w:r>
    <w:r>
      <w:rPr>
        <w:rFonts w:ascii="Times New Roman" w:cs="Times New Roman" w:eastAsia="Times New Roman" w:hAnsi="Times New Roman"/>
        <w:color w:val="666666"/>
        <w:sz w:val="18"/>
        <w:szCs w:val="18"/>
      </w:rPr>
      <w:t xml:space="preserve">Page </w:t>
    </w:r>
    <w:r>
      <w:rPr>
        <w:rFonts w:ascii="Times New Roman" w:cs="Times New Roman" w:eastAsia="Times New Roman" w:hAnsi="Times New Roman"/>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Times New Roman" w:cs="Times New Roman" w:eastAsia="Times New Roman" w:hAnsi="Times New Roman"/>
        <w:i/>
        <w:iCs/>
        <w:color w:val="666666"/>
        <w:sz w:val="18"/>
        <w:szCs w:val="18"/>
      </w:rPr>
      <w:t xml:space="preserve">NA²Q vs HiT-MAC — DSN Coverage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100" w:before="180"/>
      <w:outlineLvl w:val="2"/>
    </w:pPr>
    <w:rPr>
      <w:rFonts w:ascii="Times New Roman" w:cs="Times New Roman" w:eastAsia="Times New Roman" w:hAnsi="Times New Roman"/>
      <w:b/>
      <w:bCs/>
      <w:i/>
      <w:i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b7cfa29707fcf45323a29e77edc08145770f02d.png"/><Relationship Id="rId10" Type="http://schemas.openxmlformats.org/officeDocument/2006/relationships/image" Target="media/78f1edcdd8bbec206937b82d1823f2786d81c5a6.png"/><Relationship Id="rId11" Type="http://schemas.openxmlformats.org/officeDocument/2006/relationships/image" Target="media/da30084556ab8f8170821199a1273714d40894e6.png"/><Relationship Id="rId12" Type="http://schemas.openxmlformats.org/officeDocument/2006/relationships/image" Target="media/8b598cf3c4dbd74873ef46e1c4110638719f099e.png"/><Relationship Id="rId13" Type="http://schemas.openxmlformats.org/officeDocument/2006/relationships/image" Target="media/e6ca82d8c1dd89541f4169d6958ef09332a397a3.png"/><Relationship Id="rId14" Type="http://schemas.openxmlformats.org/officeDocument/2006/relationships/image" Target="media/63b1f2df30aeb21f1917b036051468e22a7f9081.png"/><Relationship Id="rId15" Type="http://schemas.openxmlformats.org/officeDocument/2006/relationships/image" Target="media/5aee77f317ed28f471e4588d579e27a6c76223a2.png"/><Relationship Id="rId16" Type="http://schemas.openxmlformats.org/officeDocument/2006/relationships/image" Target="media/4d17475dda2f21be34609d41c7fb320f80f5cbd1.png"/><Relationship Id="rId17" Type="http://schemas.openxmlformats.org/officeDocument/2006/relationships/image" Target="media/cc57d996da3e7fe12c4e179751cb976813346770.png"/><Relationship Id="rId18" Type="http://schemas.openxmlformats.org/officeDocument/2006/relationships/image" Target="media/f5e5c3790876791ae961ceda7660312e77070b39.png"/><Relationship Id="rId19" Type="http://schemas.openxmlformats.org/officeDocument/2006/relationships/image" Target="media/9ec0739f8e0edd28e1aceead7a57ab43adf11db1.png"/><Relationship Id="rId20" Type="http://schemas.openxmlformats.org/officeDocument/2006/relationships/image" Target="media/5d621419df173ee4cc84ba6a6f1f7bcdd1938c80.png"/><Relationship Id="rId21" Type="http://schemas.openxmlformats.org/officeDocument/2006/relationships/image" Target="media/14d63e7c357004f8688f0c871e5c8873cb49f191.png"/><Relationship Id="rId22" Type="http://schemas.openxmlformats.org/officeDocument/2006/relationships/image" Target="media/c2819cf5dfd7183be435d67b11c442e1668cd31d.png"/><Relationship Id="rId23" Type="http://schemas.openxmlformats.org/officeDocument/2006/relationships/image" Target="media/5dc622cc96d29aacb146682ab604f05401cb3e13.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SS2 Report — NA²Q vs HiT-MAC</dc:title>
  <dc:creator>Claude</dc:creator>
  <cp:lastModifiedBy>Un-named</cp:lastModifiedBy>
  <cp:revision>1</cp:revision>
  <dcterms:created xsi:type="dcterms:W3CDTF">2026-05-15T06:15:36.514Z</dcterms:created>
  <dcterms:modified xsi:type="dcterms:W3CDTF">2026-05-15T06:15:36.518Z</dcterms:modified>
</cp:coreProperties>
</file>

<file path=docProps/custom.xml><?xml version="1.0" encoding="utf-8"?>
<Properties xmlns="http://schemas.openxmlformats.org/officeDocument/2006/custom-properties" xmlns:vt="http://schemas.openxmlformats.org/officeDocument/2006/docPropsVTypes"/>
</file>