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26885555774b43f5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0ccf8b3fa9fc49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D3 · Architecture and UI Design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Architectural Pattern: Model-View-Controller</w:t>
      </w:r>
      <w:r>
        <w:tab/>
      </w:r>
      <w:r>
        <w:t>3</w:t>
      </w:r>
    </w:p>
    <w:p>
      <w:pPr>
        <w:pStyle w:val="TOC1"/>
      </w:pPr>
      <w:r>
        <w:t>2. System Request Lifecycle</w:t>
      </w:r>
      <w:r>
        <w:tab/>
      </w:r>
      <w:r>
        <w:t>4</w:t>
      </w:r>
    </w:p>
    <w:p>
      <w:pPr>
        <w:pStyle w:val="TOC1"/>
      </w:pPr>
      <w:r>
        <w:t>3. Technology Stack Justification</w:t>
      </w:r>
      <w:r>
        <w:tab/>
      </w:r>
      <w:r>
        <w:t>5</w:t>
      </w:r>
    </w:p>
    <w:p>
      <w:pPr>
        <w:pStyle w:val="TOC1"/>
      </w:pPr>
      <w:r>
        <w:t>4. Database Schema</w:t>
      </w:r>
      <w:r>
        <w:tab/>
      </w:r>
      <w:r>
        <w:t>6</w:t>
      </w:r>
    </w:p>
    <w:p>
      <w:pPr>
        <w:pStyle w:val="TOC1"/>
      </w:pPr>
      <w:r>
        <w:t>5. User Interface Design</w:t>
      </w:r>
      <w:r>
        <w:tab/>
      </w:r>
      <w:r>
        <w:t>7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Architectural Pattern: Model-View-Controller</w:t>
      </w:r>
      <w:bookmarkStart w:name="_Toc1" w:id="1"/>
      <w:bookmarkEnd w:id="1"/>
    </w:p>
    <w:p>
      <w:r>
        <w:t>EARS implements the Model-View-Controller (MVC) pattern to guarantee separation of concerns, maintainability, and testability. Each layer has a single, well-defined responsibility.</w:t>
      </w:r>
    </w:p>
    <w:p>
      <w:pPr>
        <w:pStyle w:val="Heading2"/>
      </w:pPr>
      <w:r>
        <w:t>1.1 Model Layer (Data)</w:t>
      </w:r>
    </w:p>
    <w:p>
      <w:pPr>
        <w:numPr>
          <w:ilvl w:val="0"/>
          <w:numId w:val="1"/>
        </w:numPr>
        <w:spacing w:after="80"/>
      </w:pPr>
      <w:r>
        <w:t>SQLite database with five tables: users, jobs, applications, evaluations, and interviews.</w:t>
      </w:r>
    </w:p>
    <w:p>
      <w:pPr>
        <w:numPr>
          <w:ilvl w:val="0"/>
          <w:numId w:val="1"/>
        </w:numPr>
        <w:spacing w:after="80"/>
      </w:pPr>
      <w:r>
        <w:t>All data access uses parameterized SQL queries, preventing SQL injection.</w:t>
      </w:r>
    </w:p>
    <w:p>
      <w:pPr>
        <w:numPr>
          <w:ilvl w:val="0"/>
          <w:numId w:val="1"/>
        </w:numPr>
        <w:spacing w:after="80"/>
      </w:pPr>
      <w:r>
        <w:t>Entity relationships are enforced through foreign-key constraints.</w:t>
      </w:r>
    </w:p>
    <w:p>
      <w:pPr>
        <w:pStyle w:val="Heading2"/>
      </w:pPr>
      <w:r>
        <w:t>1.2 View Layer (Presentation)</w:t>
      </w:r>
    </w:p>
    <w:p>
      <w:pPr>
        <w:numPr>
          <w:ilvl w:val="0"/>
          <w:numId w:val="1"/>
        </w:numPr>
        <w:spacing w:after="80"/>
      </w:pPr>
      <w:r>
        <w:t>HTML5 semantic markup with CSS3 responsive styling.</w:t>
      </w:r>
    </w:p>
    <w:p>
      <w:pPr>
        <w:numPr>
          <w:ilvl w:val="0"/>
          <w:numId w:val="1"/>
        </w:numPr>
        <w:spacing w:after="80"/>
      </w:pPr>
      <w:r>
        <w:t>Vanilla JavaScript for dynamic DOM manipulation — no build step required.</w:t>
      </w:r>
    </w:p>
    <w:p>
      <w:pPr>
        <w:numPr>
          <w:ilvl w:val="0"/>
          <w:numId w:val="1"/>
        </w:numPr>
        <w:spacing w:after="80"/>
      </w:pPr>
      <w:r>
        <w:t>Component-based UI: AuthView, ApplicantDashboard, ReviewerDashboard, and AdminDashboard.</w:t>
      </w:r>
    </w:p>
    <w:p>
      <w:pPr>
        <w:pStyle w:val="Heading2"/>
      </w:pPr>
      <w:r>
        <w:t>1.3 Controller Layer (Logic)</w:t>
      </w:r>
    </w:p>
    <w:p>
      <w:pPr>
        <w:numPr>
          <w:ilvl w:val="0"/>
          <w:numId w:val="1"/>
        </w:numPr>
        <w:spacing w:after="80"/>
      </w:pPr>
      <w:r>
        <w:t>Express.js route handlers process all HTTP requests.</w:t>
      </w:r>
    </w:p>
    <w:p>
      <w:pPr>
        <w:numPr>
          <w:ilvl w:val="0"/>
          <w:numId w:val="1"/>
        </w:numPr>
        <w:spacing w:after="80"/>
      </w:pPr>
      <w:r>
        <w:t>Middleware chain: Authentication → Authorization → Validation → Business Logic.</w:t>
      </w:r>
    </w:p>
    <w:p>
      <w:pPr>
        <w:numPr>
          <w:ilvl w:val="0"/>
          <w:numId w:val="1"/>
        </w:numPr>
        <w:spacing w:after="80"/>
      </w:pPr>
      <w:r>
        <w:t>RESTful API design with a consistent JSON response format.</w:t>
      </w:r>
    </w:p>
    <w:p>
      <w:pPr>
        <w:pStyle w:val="Heading1"/>
      </w:pPr>
      <w:r>
        <w:t>2. System Request Lifecycle</w:t>
      </w:r>
      <w:bookmarkStart w:name="_Toc2" w:id="2"/>
      <w:bookmarkEnd w:id="2"/>
    </w:p>
    <w:p>
      <w:r>
        <w:t>Every request travels the same path through the system, which keeps behavior predictable and each stage independently testable:</w:t>
      </w:r>
    </w:p>
    <w:p>
      <w:pPr>
        <w:numPr>
          <w:ilvl w:val="0"/>
          <w:numId w:val="2"/>
        </w:numPr>
        <w:spacing w:after="80"/>
      </w:pPr>
      <w:r>
        <w:t>The browser issues an HTTP request, carrying the session cookie.</w:t>
      </w:r>
    </w:p>
    <w:p>
      <w:pPr>
        <w:numPr>
          <w:ilvl w:val="0"/>
          <w:numId w:val="2"/>
        </w:numPr>
        <w:spacing w:after="80"/>
      </w:pPr>
      <w:r>
        <w:t>The Express server receives the request and passes it down the middleware chain.</w:t>
      </w:r>
    </w:p>
    <w:p>
      <w:pPr>
        <w:numPr>
          <w:ilvl w:val="0"/>
          <w:numId w:val="2"/>
        </w:numPr>
        <w:spacing w:after="80"/>
      </w:pPr>
      <w:r>
        <w:t>Authentication middleware validates the session and extracts the user identity.</w:t>
      </w:r>
    </w:p>
    <w:p>
      <w:pPr>
        <w:numPr>
          <w:ilvl w:val="0"/>
          <w:numId w:val="2"/>
        </w:numPr>
        <w:spacing w:after="80"/>
      </w:pPr>
      <w:r>
        <w:t>Authorization middleware confirms that the user's role may access the route.</w:t>
      </w:r>
    </w:p>
    <w:p>
      <w:pPr>
        <w:numPr>
          <w:ilvl w:val="0"/>
          <w:numId w:val="2"/>
        </w:numPr>
        <w:spacing w:after="80"/>
      </w:pPr>
      <w:r>
        <w:t>The route handler executes the business logic and queries the database.</w:t>
      </w:r>
    </w:p>
    <w:p>
      <w:pPr>
        <w:numPr>
          <w:ilvl w:val="0"/>
          <w:numId w:val="2"/>
        </w:numPr>
        <w:spacing w:after="80"/>
      </w:pPr>
      <w:r>
        <w:t>A JSON response is returned to the browser.</w:t>
      </w:r>
    </w:p>
    <w:p>
      <w:pPr>
        <w:numPr>
          <w:ilvl w:val="0"/>
          <w:numId w:val="2"/>
        </w:numPr>
        <w:spacing w:after="80"/>
      </w:pPr>
      <w:r>
        <w:t>The view re-renders the affected components with the new data.</w:t>
      </w:r>
    </w:p>
    <w:p>
      <w:pPr>
        <w:pStyle w:val="Heading1"/>
      </w:pPr>
      <w:r>
        <w:t>3. Technology Stack Justification</w:t>
      </w:r>
      <w:bookmarkStart w:name="_Toc3" w:id="3"/>
      <w:bookmarkEnd w:id="3"/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00"/>
        <w:gridCol w:w="2600"/>
        <w:gridCol w:w="4400"/>
      </w:tblGrid>
      <w:tr>
        <w:trPr>
          <w:tblHeader/>
        </w:trPr>
        <w:tc>
          <w:tcPr>
            <w:tcW w:w="21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Component</w:t>
            </w:r>
          </w:p>
        </w:tc>
        <w:tc>
          <w:tcPr>
            <w:tcW w:w="2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Technology</w:t>
            </w:r>
          </w:p>
        </w:tc>
        <w:tc>
          <w:tcPr>
            <w:tcW w:w="4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Justification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Runtime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Node.js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Non-blocking I/O is ideal for concurrent user sessions; extensive package ecosystem.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Framework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Express.js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Minimal, fast, and mature middleware architecture.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Database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SQLite3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Zero-configuration and serverless — well suited to an academic project and demo.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Authentication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bcryptjs + express-session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Industry-standard password hashing with secure server-side sessions.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File upload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multer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Robust multipart/form-data handling with size and type validation.</w:t>
            </w:r>
          </w:p>
        </w:tc>
      </w:tr>
      <w:tr>
        <w:tc>
          <w:tcPr>
            <w:tcW w:w="2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Frontend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Vanilla JS + CSS Grid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No build step; fast prototyping; responsive by default.</w:t>
            </w:r>
          </w:p>
        </w:tc>
      </w:tr>
    </w:tbl>
    <w:p>
      <w:pPr>
        <w:pStyle w:val="Heading1"/>
      </w:pPr>
      <w:r>
        <w:t>4. Database Schema</w:t>
      </w:r>
      <w:bookmarkStart w:name="_Toc4" w:id="4"/>
      <w:bookmarkEnd w:id="4"/>
    </w:p>
    <w:p>
      <w:r>
        <w:t>The schema comprises five entities. Users submit applications to jobs; applications receive evaluations and interviews.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Users (1) — (∞) Applications — (1) Jobs: </w:t>
      </w:r>
      <w:r>
        <w:rPr>
          <w:color w:val="263238"/>
        </w:rPr>
        <w:t xml:space="preserve">a user submits many applications; each application targets exactly one job.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Applications (1) — (∞) Evaluations: </w:t>
      </w:r>
      <w:r>
        <w:rPr>
          <w:color w:val="263238"/>
        </w:rPr>
        <w:t xml:space="preserve">an application may be evaluated by multiple reviewers.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Applications (1) — (∞) Interviews: </w:t>
      </w:r>
      <w:r>
        <w:rPr>
          <w:color w:val="263238"/>
        </w:rPr>
        <w:t xml:space="preserve">an application may carry multiple scheduled interviews.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2200"/>
        <w:gridCol w:w="4400"/>
      </w:tblGrid>
      <w:tr>
        <w:trPr>
          <w:tblHeader/>
        </w:trPr>
        <w:tc>
          <w:tcPr>
            <w:tcW w:w="2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Table</w:t>
            </w:r>
          </w:p>
        </w:tc>
        <w:tc>
          <w:tcPr>
            <w:tcW w:w="2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Key Fields</w:t>
            </w:r>
          </w:p>
        </w:tc>
        <w:tc>
          <w:tcPr>
            <w:tcW w:w="4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Constraints</w:t>
            </w:r>
          </w:p>
        </w:tc>
      </w:tr>
      <w:tr>
        <w:tc>
          <w:tcPr>
            <w:tcW w:w="2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users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id, full_name, email, password, role, created_at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 PK; email UNIQUE; password stored hashed</w:t>
            </w:r>
          </w:p>
        </w:tc>
      </w:tr>
      <w:tr>
        <w:tc>
          <w:tcPr>
            <w:tcW w:w="2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jobs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id, title, department, description, requirements, status, posted_by, created_at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 PK; posted_by FK → users</w:t>
            </w:r>
          </w:p>
        </w:tc>
      </w:tr>
      <w:tr>
        <w:tc>
          <w:tcPr>
            <w:tcW w:w="2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applications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id, applicant_id, job_id, cover_letter, resume_path, status, applied_at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 PK; applicant_id, job_id FKs; UNIQUE(applicant_id, job_id)</w:t>
            </w:r>
          </w:p>
        </w:tc>
      </w:tr>
      <w:tr>
        <w:tc>
          <w:tcPr>
            <w:tcW w:w="2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evaluations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id, application_id, reviewer_id, technical_skills, communication, experience_match, culture_fit, comments, evaluated_at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 PK; application_id, reviewer_id FKs; scores CHECK 1–5</w:t>
            </w:r>
          </w:p>
        </w:tc>
      </w:tr>
      <w:tr>
        <w:tc>
          <w:tcPr>
            <w:tcW w:w="2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interviews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id, application_id, scheduled_date, interview_type, location, status, created_at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 PK; application_id FK</w:t>
            </w:r>
          </w:p>
        </w:tc>
      </w:tr>
    </w:tbl>
    <w:p>
      <w:pPr>
        <w:spacing w:before="80" w:after="280"/>
        <w:jc w:val="left"/>
      </w:pPr>
      <w:r>
        <w:rPr>
          <w:i/>
          <w:color w:val="78909C"/>
          <w:sz w:val="18"/>
        </w:rPr>
        <w:t>PK = primary key; FK = foreign key. The UNIQUE constraint on applications enforces FR-09 (duplicate prevention) at the database level.</w:t>
      </w:r>
    </w:p>
    <w:p>
      <w:pPr>
        <w:pStyle w:val="Heading1"/>
      </w:pPr>
      <w:r>
        <w:t>5. User Interface Design</w:t>
      </w:r>
      <w:bookmarkStart w:name="_Toc5" w:id="5"/>
      <w:bookmarkEnd w:id="5"/>
    </w:p>
    <w:p>
      <w:pPr>
        <w:pStyle w:val="Heading2"/>
      </w:pPr>
      <w:r>
        <w:t>5.1 Design Principles</w:t>
      </w:r>
    </w:p>
    <w:p>
      <w:pPr>
        <w:numPr>
          <w:ilvl w:val="0"/>
          <w:numId w:val="1"/>
        </w:numPr>
        <w:spacing w:after="80"/>
      </w:pPr>
      <w:r>
        <w:t>Minimalist aesthetic with high contrast for readability.</w:t>
      </w:r>
    </w:p>
    <w:p>
      <w:pPr>
        <w:numPr>
          <w:ilvl w:val="0"/>
          <w:numId w:val="1"/>
        </w:numPr>
        <w:spacing w:after="80"/>
      </w:pPr>
      <w:r>
        <w:t>Consistent color coding: blue for primary actions, green for success, red for errors, orange for warnings.</w:t>
      </w:r>
    </w:p>
    <w:p>
      <w:pPr>
        <w:numPr>
          <w:ilvl w:val="0"/>
          <w:numId w:val="1"/>
        </w:numPr>
        <w:spacing w:after="80"/>
      </w:pPr>
      <w:r>
        <w:t>Mobile-first responsive grid layout.</w:t>
      </w:r>
    </w:p>
    <w:p>
      <w:pPr>
        <w:numPr>
          <w:ilvl w:val="0"/>
          <w:numId w:val="1"/>
        </w:numPr>
        <w:spacing w:after="80"/>
      </w:pPr>
      <w:r>
        <w:t>Clear visual hierarchy through a consistent typographic scale.</w:t>
      </w:r>
    </w:p>
    <w:p>
      <w:pPr>
        <w:pStyle w:val="Heading2"/>
      </w:pPr>
      <w:r>
        <w:t>5.2 Screen Descriptions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700"/>
      </w:tblGrid>
      <w:tr>
        <w:trPr>
          <w:tblHeader/>
        </w:trPr>
        <w:tc>
          <w:tcPr>
            <w:tcW w:w="2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Screen</w:t>
            </w:r>
          </w:p>
        </w:tc>
        <w:tc>
          <w:tcPr>
            <w:tcW w:w="6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Key Elements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Login / Register</w:t>
            </w:r>
          </w:p>
        </w:tc>
        <w:tc>
          <w:tcPr>
            <w:tcW w:w="6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Centered card on a gradient background; tab switching between forms; real-time validation feedback; demo account hints for evaluators.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 Dashboard</w:t>
            </w:r>
          </w:p>
        </w:tc>
        <w:tc>
          <w:tcPr>
            <w:tcW w:w="6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Three-column grid (Available Jobs, My Applications, My Interviews); job cards with one-click Apply; color-coded status badges; helpful empty states.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 Dashboard</w:t>
            </w:r>
          </w:p>
        </w:tc>
        <w:tc>
          <w:tcPr>
            <w:tcW w:w="6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Full-width applications table with sortable columns; per-row actions (Evaluate, Schedule, Status Change); modal dialogs for evaluation and scheduling.</w:t>
            </w:r>
          </w:p>
        </w:tc>
      </w:tr>
      <w:tr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 Dashboard</w:t>
            </w:r>
          </w:p>
        </w:tc>
        <w:tc>
          <w:tcPr>
            <w:tcW w:w="6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posting form beside the active jobs list; system statistics grid (Total Jobs, Applications, Interviews, Hired); status dropdown for opening/closing positions.</w:t>
            </w:r>
          </w:p>
        </w:tc>
      </w:tr>
    </w:tbl>
    <w:p>
      <w:pPr>
        <w:pStyle w:val="Heading2"/>
      </w:pPr>
      <w:r>
        <w:t>5.3 Responsive Breakpoints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600"/>
        <w:gridCol w:w="3900"/>
      </w:tblGrid>
      <w:tr>
        <w:trPr>
          <w:tblHeader/>
        </w:trPr>
        <w:tc>
          <w:tcPr>
            <w:tcW w:w="2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Viewport</w:t>
            </w:r>
          </w:p>
        </w:tc>
        <w:tc>
          <w:tcPr>
            <w:tcW w:w="2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Width</w:t>
            </w:r>
          </w:p>
        </w:tc>
        <w:tc>
          <w:tcPr>
            <w:tcW w:w="3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Layout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Desktop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1200 px and above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Three-column grid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Tablet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768 – 1199 px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Two-column grid</w:t>
            </w:r>
          </w:p>
        </w:tc>
      </w:tr>
      <w:tr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Mobile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Below 768 px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Single-column stack</w:t>
            </w:r>
          </w:p>
        </w:tc>
      </w:tr>
    </w:tbl>
    <w:sectPr>
      <w:headerReference w:type="default" r:id="R9f391da3b5dc4bf0"/>
      <w:footerReference w:type="default" r:id="R7ad2b55d22464f5e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D3 Architecture and UI Design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12c16ca097d4bd3" /><Relationship Type="http://schemas.openxmlformats.org/officeDocument/2006/relationships/numbering" Target="numbering.xml" Id="Rb97dae27e4f14b39" /><Relationship Type="http://schemas.openxmlformats.org/officeDocument/2006/relationships/image" Target="media/image.png" Id="R0ccf8b3fa9fc4912" /><Relationship Type="http://schemas.openxmlformats.org/officeDocument/2006/relationships/header" Target="header1.xml" Id="R9f391da3b5dc4bf0" /><Relationship Type="http://schemas.openxmlformats.org/officeDocument/2006/relationships/footer" Target="footer1.xml" Id="R7ad2b55d22464f5e" /><Relationship Type="http://schemas.openxmlformats.org/officeDocument/2006/relationships/settings" Target="settings.xml" Id="R5d6378cc7d9449c9" /></Relationships>
</file>