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Times New Roman" w:cs="Times New Roman" w:eastAsia="Times New Roman" w:hAnsi="Times New Roman"/>
          <w:b w:val="1"/>
          <w:sz w:val="24"/>
          <w:szCs w:val="24"/>
        </w:rPr>
      </w:pPr>
      <w:bookmarkStart w:colFirst="0" w:colLast="0" w:name="_qlrler3ohsyo" w:id="0"/>
      <w:bookmarkEnd w:id="0"/>
      <w:r w:rsidDel="00000000" w:rsidR="00000000" w:rsidRPr="00000000">
        <w:rPr>
          <w:rFonts w:ascii="Times New Roman" w:cs="Times New Roman" w:eastAsia="Times New Roman" w:hAnsi="Times New Roman"/>
          <w:b w:val="1"/>
          <w:sz w:val="24"/>
          <w:szCs w:val="24"/>
          <w:rtl w:val="0"/>
        </w:rPr>
        <w:t xml:space="preserve">Technical Report on Premier Project by Group NLP in Hamoye Internship HDSC Winter ‘22</w:t>
      </w:r>
    </w:p>
    <w:p w:rsidR="00000000" w:rsidDel="00000000" w:rsidP="00000000" w:rsidRDefault="00000000" w:rsidRPr="00000000" w14:paraId="00000002">
      <w:pPr>
        <w:pStyle w:val="Heading1"/>
        <w:pageBreakBefore w:val="0"/>
        <w:ind w:left="0" w:firstLine="0"/>
        <w:rPr>
          <w:rFonts w:ascii="Times New Roman" w:cs="Times New Roman" w:eastAsia="Times New Roman" w:hAnsi="Times New Roman"/>
          <w:b w:val="1"/>
          <w:sz w:val="24"/>
          <w:szCs w:val="24"/>
          <w:u w:val="single"/>
        </w:rPr>
      </w:pPr>
      <w:bookmarkStart w:colFirst="0" w:colLast="0" w:name="_fpj0b4u7ukm0" w:id="1"/>
      <w:bookmarkEnd w:id="1"/>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3">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exchange rate, or FOREX rate, is the value of one currency in terms of another. The foreign exchange market determines FOREX rates which often fluctuates based on transactions between traders. For instance, the foreign exchange rate of Naira to Dollar is 415.76. This implies that it takes 415.76 Naira to buy a Dollar, as at January, 2022.</w:t>
      </w:r>
    </w:p>
    <w:p w:rsidR="00000000" w:rsidDel="00000000" w:rsidP="00000000" w:rsidRDefault="00000000" w:rsidRPr="00000000" w14:paraId="00000004">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must have heard, data is the new oil. Data science technology works on datasets using different methods and processes to extract useful insights. Data science has transformed the way professionals of different fields make observations and decisions. What better way to take action if not based on trends and measurable insights?</w:t>
      </w:r>
    </w:p>
    <w:p w:rsidR="00000000" w:rsidDel="00000000" w:rsidP="00000000" w:rsidRDefault="00000000" w:rsidRPr="00000000" w14:paraId="0000000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the NLP team of the HDSC Winter ‘22 used a raw dataset containing foreign exchange rates information of about 21 countries. The dataset provided the FOREX rates of 20 years spanning from 2000 to 2009. The team used the information from this data to understand the relationships between FOREX rates trends and predict changes across selected countries.</w:t>
      </w:r>
    </w:p>
    <w:p w:rsidR="00000000" w:rsidDel="00000000" w:rsidP="00000000" w:rsidRDefault="00000000" w:rsidRPr="00000000" w14:paraId="00000006">
      <w:pPr>
        <w:pStyle w:val="Heading1"/>
        <w:pageBreakBefore w:val="0"/>
        <w:jc w:val="both"/>
        <w:rPr>
          <w:rFonts w:ascii="Times New Roman" w:cs="Times New Roman" w:eastAsia="Times New Roman" w:hAnsi="Times New Roman"/>
          <w:b w:val="1"/>
          <w:sz w:val="24"/>
          <w:szCs w:val="24"/>
          <w:u w:val="single"/>
        </w:rPr>
      </w:pPr>
      <w:bookmarkStart w:colFirst="0" w:colLast="0" w:name="_f23p77w4a76q" w:id="2"/>
      <w:bookmarkEnd w:id="2"/>
      <w:r w:rsidDel="00000000" w:rsidR="00000000" w:rsidRPr="00000000">
        <w:rPr>
          <w:rFonts w:ascii="Times New Roman" w:cs="Times New Roman" w:eastAsia="Times New Roman" w:hAnsi="Times New Roman"/>
          <w:b w:val="1"/>
          <w:sz w:val="24"/>
          <w:szCs w:val="24"/>
          <w:u w:val="single"/>
          <w:rtl w:val="0"/>
        </w:rPr>
        <w:t xml:space="preserve">Methods of Analysis</w:t>
      </w:r>
    </w:p>
    <w:p w:rsidR="00000000" w:rsidDel="00000000" w:rsidP="00000000" w:rsidRDefault="00000000" w:rsidRPr="00000000" w14:paraId="0000000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preparation pipeline for the FOREX rates datasets consists of the following steps:</w:t>
      </w:r>
    </w:p>
    <w:p w:rsidR="00000000" w:rsidDel="00000000" w:rsidP="00000000" w:rsidRDefault="00000000" w:rsidRPr="00000000" w14:paraId="00000008">
      <w:pPr>
        <w:numPr>
          <w:ilvl w:val="0"/>
          <w:numId w:val="2"/>
        </w:numPr>
        <w:spacing w:after="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Extract and load the data</w:t>
      </w:r>
    </w:p>
    <w:p w:rsidR="00000000" w:rsidDel="00000000" w:rsidP="00000000" w:rsidRDefault="00000000" w:rsidRPr="00000000" w14:paraId="00000009">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 our project group is titled: PP22/T616 on </w:t>
      </w:r>
      <w:hyperlink r:id="rId6">
        <w:r w:rsidDel="00000000" w:rsidR="00000000" w:rsidRPr="00000000">
          <w:rPr>
            <w:rFonts w:ascii="Times New Roman" w:cs="Times New Roman" w:eastAsia="Times New Roman" w:hAnsi="Times New Roman"/>
            <w:color w:val="1155cc"/>
            <w:sz w:val="24"/>
            <w:szCs w:val="24"/>
            <w:u w:val="single"/>
            <w:rtl w:val="0"/>
          </w:rPr>
          <w:t xml:space="preserve">Hamoye’s medium page</w:t>
        </w:r>
      </w:hyperlink>
      <w:r w:rsidDel="00000000" w:rsidR="00000000" w:rsidRPr="00000000">
        <w:rPr>
          <w:rFonts w:ascii="Times New Roman" w:cs="Times New Roman" w:eastAsia="Times New Roman" w:hAnsi="Times New Roman"/>
          <w:sz w:val="24"/>
          <w:szCs w:val="24"/>
          <w:rtl w:val="0"/>
        </w:rPr>
        <w:t xml:space="preserve"> with a scope of Trade, Agriculture and Finance. It falls under the topic “Foreign Exchange Rates”. The dataset for this project was accessed from the </w:t>
      </w:r>
      <w:hyperlink r:id="rId7">
        <w:r w:rsidDel="00000000" w:rsidR="00000000" w:rsidRPr="00000000">
          <w:rPr>
            <w:rFonts w:ascii="Times New Roman" w:cs="Times New Roman" w:eastAsia="Times New Roman" w:hAnsi="Times New Roman"/>
            <w:color w:val="1155cc"/>
            <w:sz w:val="24"/>
            <w:szCs w:val="24"/>
            <w:u w:val="single"/>
            <w:rtl w:val="0"/>
          </w:rPr>
          <w:t xml:space="preserve">kaggle directory</w:t>
        </w:r>
      </w:hyperlink>
      <w:r w:rsidDel="00000000" w:rsidR="00000000" w:rsidRPr="00000000">
        <w:rPr>
          <w:rFonts w:ascii="Times New Roman" w:cs="Times New Roman" w:eastAsia="Times New Roman" w:hAnsi="Times New Roman"/>
          <w:sz w:val="24"/>
          <w:szCs w:val="24"/>
          <w:rtl w:val="0"/>
        </w:rPr>
        <w:t xml:space="preserve">. Jupyter Notebook was used as the primary tool for carrying out data cleaning and analysis. Python was utilized as the choice of querying language. All relevant libraries from the Python machine learning libraries were successfully imported. Then, we loaded our dataset which was already downloaded to a local directory in Comma Separated Value (.csv) file format. </w:t>
      </w:r>
    </w:p>
    <w:p w:rsidR="00000000" w:rsidDel="00000000" w:rsidP="00000000" w:rsidRDefault="00000000" w:rsidRPr="00000000" w14:paraId="0000000A">
      <w:pPr>
        <w:numPr>
          <w:ilvl w:val="0"/>
          <w:numId w:val="2"/>
        </w:numPr>
        <w:spacing w:after="20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transformation</w:t>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is the process of ensuring data is correct, consistent and usable. You can clean data by identifying errors or corruptions, correcting or deleting them, or manually processing data as needed to prevent the same errors from occurring. </w:t>
      </w:r>
    </w:p>
    <w:p w:rsidR="00000000" w:rsidDel="00000000" w:rsidP="00000000" w:rsidRDefault="00000000" w:rsidRPr="00000000" w14:paraId="0000000C">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cleaning our data, we queried the dataset and observed that it contained 5217 rows (data ranging from index 0 to 5216) and 24 columns containing the various countries. We also observed that the Time series column located at index 1 was in an object data type. Hence, we converted it into a datetime format to make it usable. </w:t>
      </w:r>
    </w:p>
    <w:p w:rsidR="00000000" w:rsidDel="00000000" w:rsidP="00000000" w:rsidRDefault="00000000" w:rsidRPr="00000000" w14:paraId="0000000D">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other columns ranging from index 2 to 23 which were originally in object format were converted into float data type. The data unit (index 0) which had “unnamed'' as a column name was dropped from the dataset using the drop method. This was done because it was a replica of our index column. This process reduced our dataset from its original 24 columns to 23 columns. </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isnull() method, we accounted for the total number of missing values. These missing values ranged from 197 to 201 in different country columns. We decided to drop those rows because of the low percentage. Dropping these missing values leaves the dataset with only valid and significant values. The dataset now had 5015 rows and 23 columns. At this stage, the dataset was ready for exploration and further analyses. </w:t>
      </w: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Exploratory Data Analysis</w:t>
      </w:r>
    </w:p>
    <w:p w:rsidR="00000000" w:rsidDel="00000000" w:rsidP="00000000" w:rsidRDefault="00000000" w:rsidRPr="00000000" w14:paraId="00000010">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 techniques is widely used in the data discovery process today. It helps data scientists to perform initial investigations on a provided data so as to discover patterns, spot anomalies, and check assumptions using summary statistics and graphical representations. </w:t>
      </w:r>
    </w:p>
    <w:p w:rsidR="00000000" w:rsidDel="00000000" w:rsidP="00000000" w:rsidRDefault="00000000" w:rsidRPr="00000000" w14:paraId="00000011">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number of tools used for performing an EDA. However, Python was the preferred choice for this project. Python is an object-oriented programming language with dynamic semantics. Its high-level, built-in data structures, combined with dynamic typing and libraries, makes it attractive for rapid application development  and model training and building. </w:t>
      </w:r>
    </w:p>
    <w:p w:rsidR="00000000" w:rsidDel="00000000" w:rsidP="00000000" w:rsidRDefault="00000000" w:rsidRPr="00000000" w14:paraId="00000012">
      <w:pPr>
        <w:spacing w:line="266.1818181818182"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Sequential Process for Performing Data Visualization on the Provided Dataset</w:t>
      </w:r>
      <w:r w:rsidDel="00000000" w:rsidR="00000000" w:rsidRPr="00000000">
        <w:rPr>
          <w:rtl w:val="0"/>
        </w:rPr>
      </w:r>
    </w:p>
    <w:p w:rsidR="00000000" w:rsidDel="00000000" w:rsidP="00000000" w:rsidRDefault="00000000" w:rsidRPr="00000000" w14:paraId="00000013">
      <w:pPr>
        <w:shd w:fill="ffffff" w:val="clear"/>
        <w:spacing w:before="2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Data conversion from different currencies to US Dollars (USD) to evaluate the trend between currencies.</w:t>
      </w:r>
    </w:p>
    <w:p w:rsidR="00000000" w:rsidDel="00000000" w:rsidP="00000000" w:rsidRDefault="00000000" w:rsidRPr="00000000" w14:paraId="00000014">
      <w:pPr>
        <w:shd w:fill="ffffff" w:val="clear"/>
        <w:spacing w:before="2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Check the average value of each currency in USD for the four quarters within the years provided. This gives further insight into the annual changes occurring for each currency on a quarterly basis.</w:t>
      </w:r>
    </w:p>
    <w:p w:rsidR="00000000" w:rsidDel="00000000" w:rsidP="00000000" w:rsidRDefault="00000000" w:rsidRPr="00000000" w14:paraId="00000015">
      <w:pPr>
        <w:shd w:fill="ffffff" w:val="clear"/>
        <w:spacing w:before="2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Check for noticeable trends within the provided dataset. Some resulting trends indicated that the Euro has been appreciating until 2015 when it depreciated from 0.75 to 0.94. However, it appreciated again in 2019 to a value of 0.89. The United Kingdom’s Pounds appreciated from 2000 to 2009, although it has been depreciating in respect to USD till 2019.</w:t>
      </w:r>
    </w:p>
    <w:p w:rsidR="00000000" w:rsidDel="00000000" w:rsidP="00000000" w:rsidRDefault="00000000" w:rsidRPr="00000000" w14:paraId="00000016">
      <w:pPr>
        <w:shd w:fill="ffffff" w:val="clear"/>
        <w:spacing w:before="2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Generate a plot to determine the country with the highest currency/USD. From the generated plot, it can be deduced that the United Kingdom’s Pounds are the highest currency value relative to US Dollars.</w:t>
      </w:r>
    </w:p>
    <w:p w:rsidR="00000000" w:rsidDel="00000000" w:rsidP="00000000" w:rsidRDefault="00000000" w:rsidRPr="00000000" w14:paraId="00000017">
      <w:pPr>
        <w:shd w:fill="ffffff" w:val="clear"/>
        <w:spacing w:before="2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Also, generate a plot to determine the country with the lowest currency/USD. From the generated plot, it can be observed that Korean Won is the lowest currency value relative to US Dollars.</w:t>
      </w:r>
    </w:p>
    <w:p w:rsidR="00000000" w:rsidDel="00000000" w:rsidP="00000000" w:rsidRDefault="00000000" w:rsidRPr="00000000" w14:paraId="00000018">
      <w:pPr>
        <w:shd w:fill="ffffff" w:val="clear"/>
        <w:spacing w:before="2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Check the relationship between the lowest and highest trending currencies (i.e. United Kingdom’s Pounds and Korean Won).</w:t>
      </w:r>
    </w:p>
    <w:p w:rsidR="00000000" w:rsidDel="00000000" w:rsidP="00000000" w:rsidRDefault="00000000" w:rsidRPr="00000000" w14:paraId="00000019">
      <w:pPr>
        <w:shd w:fill="ffffff" w:val="clear"/>
        <w:spacing w:before="2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Identify trending currencies according to the last date of 2019 provided in the dataset. Doing this shows the strongest to the weakest currencies as provided in the dataset.</w:t>
      </w:r>
    </w:p>
    <w:p w:rsidR="00000000" w:rsidDel="00000000" w:rsidP="00000000" w:rsidRDefault="00000000" w:rsidRPr="00000000" w14:paraId="0000001A">
      <w:pPr>
        <w:shd w:fill="ffffff" w:val="clear"/>
        <w:spacing w:before="2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Generate a correlation heat map plot for the currencies. </w:t>
      </w: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sz w:val="24"/>
          <w:szCs w:val="24"/>
          <w:highlight w:val="white"/>
          <w:rtl w:val="0"/>
        </w:rPr>
        <w:t xml:space="preserve">heat map</w:t>
      </w:r>
      <w:r w:rsidDel="00000000" w:rsidR="00000000" w:rsidRPr="00000000">
        <w:rPr>
          <w:rFonts w:ascii="Times New Roman" w:cs="Times New Roman" w:eastAsia="Times New Roman" w:hAnsi="Times New Roman"/>
          <w:sz w:val="24"/>
          <w:szCs w:val="24"/>
          <w:highlight w:val="white"/>
          <w:rtl w:val="0"/>
        </w:rPr>
        <w:t xml:space="preserve"> is a data visualization technique that shows the magnitude of a phenomenon as color in two dimensions. We observed that</w:t>
      </w:r>
      <w:r w:rsidDel="00000000" w:rsidR="00000000" w:rsidRPr="00000000">
        <w:rPr>
          <w:rFonts w:ascii="Times New Roman" w:cs="Times New Roman" w:eastAsia="Times New Roman" w:hAnsi="Times New Roman"/>
          <w:sz w:val="24"/>
          <w:szCs w:val="24"/>
          <w:highlight w:val="white"/>
          <w:rtl w:val="0"/>
        </w:rPr>
        <w:t xml:space="preserve"> the Euro and Danish Krone currencies have a perfect positive correlation. This is clearly explained in the attached link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https://en.wikipedia.org/wiki/Denmark_and_the_euro</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1B">
      <w:pPr>
        <w:shd w:fill="ffffff" w:val="clear"/>
        <w:spacing w:before="2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Use a scatter plot to check the correlation between Euro and Denmark currencies. We observed a pure simple regression line. </w:t>
      </w:r>
    </w:p>
    <w:p w:rsidR="00000000" w:rsidDel="00000000" w:rsidP="00000000" w:rsidRDefault="00000000" w:rsidRPr="00000000" w14:paraId="0000001C">
      <w:pPr>
        <w:shd w:fill="ffffff" w:val="clear"/>
        <w:spacing w:before="2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Generate a plot to show a set of currencies having a high correlation. This is done to show the relationship between the provided currencies which have been presented in dollar formats. </w:t>
      </w:r>
    </w:p>
    <w:p w:rsidR="00000000" w:rsidDel="00000000" w:rsidP="00000000" w:rsidRDefault="00000000" w:rsidRPr="00000000" w14:paraId="0000001D">
      <w:pPr>
        <w:pageBreakBefore w:val="0"/>
        <w:shd w:fill="ffffff" w:val="clear"/>
        <w:spacing w:before="2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Obtain the maximum, minimum, and last day price of each currency. Also, indicate the years at which these events occur. This gives insight into significant fiscal highlights which have occurred within the provided data timeframe.</w:t>
      </w:r>
    </w:p>
    <w:p w:rsidR="00000000" w:rsidDel="00000000" w:rsidP="00000000" w:rsidRDefault="00000000" w:rsidRPr="00000000" w14:paraId="0000001E">
      <w:pPr>
        <w:shd w:fill="ffffff" w:val="clear"/>
        <w:spacing w:before="2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Prediction Models</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to work with 4 selected currencies based on the most traded currencies data from investopedia. Chosen countries are United Kingdom (Pounds), Euro Area (Euro), Australia (AUD), and New zealand (NZD)</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Techniques used for the forecasting and model building are the ADFULLER test, autocorrelation plot, and the Prophet module. We chose these libraries because we observed that our datasets were not stationary, and they would be the best option for predictive analysis.</w:t>
      </w:r>
      <w:r w:rsidDel="00000000" w:rsidR="00000000" w:rsidRPr="00000000">
        <w:rPr>
          <w:rtl w:val="0"/>
        </w:rPr>
      </w:r>
    </w:p>
    <w:p w:rsidR="00000000" w:rsidDel="00000000" w:rsidP="00000000" w:rsidRDefault="00000000" w:rsidRPr="00000000" w14:paraId="00000022">
      <w:pPr>
        <w:pStyle w:val="Heading1"/>
        <w:pageBreakBefore w:val="0"/>
        <w:rPr>
          <w:rFonts w:ascii="Times New Roman" w:cs="Times New Roman" w:eastAsia="Times New Roman" w:hAnsi="Times New Roman"/>
          <w:b w:val="1"/>
          <w:sz w:val="24"/>
          <w:szCs w:val="24"/>
        </w:rPr>
      </w:pPr>
      <w:bookmarkStart w:colFirst="0" w:colLast="0" w:name="_8uq35bz70uo3" w:id="3"/>
      <w:bookmarkEnd w:id="3"/>
      <w:r w:rsidDel="00000000" w:rsidR="00000000" w:rsidRPr="00000000">
        <w:rPr>
          <w:rFonts w:ascii="Times New Roman" w:cs="Times New Roman" w:eastAsia="Times New Roman" w:hAnsi="Times New Roman"/>
          <w:b w:val="1"/>
          <w:sz w:val="24"/>
          <w:szCs w:val="24"/>
          <w:rtl w:val="0"/>
        </w:rPr>
        <w:t xml:space="preserve">Results and observations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Australian Dollar FOREX prediction</w:t>
      </w: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54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Euro Area FOREX prediction</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65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New zealand Dollar prediction</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290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United Kindom Pounds FOREX prediction</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163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pageBreakBefore w:val="0"/>
        <w:rPr>
          <w:rFonts w:ascii="Times New Roman" w:cs="Times New Roman" w:eastAsia="Times New Roman" w:hAnsi="Times New Roman"/>
          <w:b w:val="1"/>
          <w:sz w:val="24"/>
          <w:szCs w:val="24"/>
        </w:rPr>
      </w:pPr>
      <w:bookmarkStart w:colFirst="0" w:colLast="0" w:name="_aohtbceudnp6" w:id="4"/>
      <w:bookmarkEnd w:id="4"/>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foreign exchange market has a direct impact on wages, cross-border investments, and the economy as a whole. Financial institutions, companies, governments, and other entities use this market to adjust their currency holdings. This indicates the need to obtain accurate evaluations and predictions of market trends. This study proposes a means of utilizing data science technology to evaluate and predict such trends within a country's economy relative to its US dollar equivalent.</w:t>
      </w:r>
      <w:r w:rsidDel="00000000" w:rsidR="00000000" w:rsidRPr="00000000">
        <w:rPr>
          <w:rtl w:val="0"/>
        </w:rPr>
      </w:r>
    </w:p>
    <w:p w:rsidR="00000000" w:rsidDel="00000000" w:rsidP="00000000" w:rsidRDefault="00000000" w:rsidRPr="00000000" w14:paraId="0000002C">
      <w:pPr>
        <w:pStyle w:val="Heading1"/>
        <w:pageBreakBefore w:val="0"/>
        <w:rPr>
          <w:rFonts w:ascii="Times New Roman" w:cs="Times New Roman" w:eastAsia="Times New Roman" w:hAnsi="Times New Roman"/>
          <w:b w:val="1"/>
          <w:sz w:val="24"/>
          <w:szCs w:val="24"/>
        </w:rPr>
      </w:pPr>
      <w:bookmarkStart w:colFirst="0" w:colLast="0" w:name="_477hd8z87k00" w:id="5"/>
      <w:bookmarkEnd w:id="5"/>
      <w:r w:rsidDel="00000000" w:rsidR="00000000" w:rsidRPr="00000000">
        <w:rPr>
          <w:rFonts w:ascii="Times New Roman" w:cs="Times New Roman" w:eastAsia="Times New Roman" w:hAnsi="Times New Roman"/>
          <w:b w:val="1"/>
          <w:sz w:val="24"/>
          <w:szCs w:val="24"/>
          <w:rtl w:val="0"/>
        </w:rPr>
        <w:t xml:space="preserve">NLP group members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Nnona Ebuka John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 Vishwakarma</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Fatima Alhassan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Sanskriti Jain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Manoj Kumar</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 Anifowoshe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Odubanjo Sulaimon Abiodun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Abiodun Shittu</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Gbolahan Alao</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Bright Odike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Jeremiah Zhao</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Emeke Ihedilionye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Timothy Oladapo</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Shereen Onyango</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Saheed Olurebi</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Oluwaseyi Ogunlana</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Olugbuyi Peter</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 Ade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Aniefiok Udoh (APL)</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Idara Effiong</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Halimat Atanda (QA)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hamoyehq.medium.com/hdsc22-real-life-machine-learning-projects-f9ddda384332" TargetMode="External"/><Relationship Id="rId7" Type="http://schemas.openxmlformats.org/officeDocument/2006/relationships/hyperlink" Target="https://www.kaggle.com/brunotly/foreign-exchange-rates-per-dollar-20002019" TargetMode="External"/><Relationship Id="rId8" Type="http://schemas.openxmlformats.org/officeDocument/2006/relationships/hyperlink" Target="https://en.wikipedia.org/wiki/Denmark_and_the_eu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