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4350"/>
        </w:numPr>
        <w:ind w:left="720" w:hanging="360"/>
      </w:pPr>
      <w:r>
        <w:t>Visto: La Ley N° 19.880, de 2003, que establece normas sobre los actos administrativos...</w:t>
      </w:r>
    </w:p>
    <w:p>
      <w:pPr>
        <w:pStyle w:val="ListNumber"/>
        <w:numPr>
          <w:ilvl w:val="0"/>
          <w:numId w:val="4350"/>
        </w:numPr>
        <w:ind w:left="720" w:hanging="360"/>
      </w:pPr>
      <w:r>
        <w:t>Que, el Hospital de San José de Melipilla perteneciente a la red de salud...</w:t>
      </w:r>
    </w:p>
    <w:p>
      <w:pPr>
        <w:pStyle w:val="ListNumber"/>
        <w:numPr>
          <w:ilvl w:val="0"/>
          <w:numId w:val="4350"/>
        </w:numPr>
        <w:ind w:left="720" w:hanging="360"/>
      </w:pPr>
      <w:r>
        <w:t>Que, dada la naturaleza del Establecimiento...</w:t>
      </w:r>
    </w:p>
    <w:p>
      <w:pPr>
        <w:pStyle w:val="ListNumber"/>
        <w:numPr>
          <w:ilvl w:val="0"/>
          <w:numId w:val="4350"/>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4350"/>
        </w:numPr>
        <w:ind w:left="720" w:hanging="360"/>
      </w:pPr>
      <w:r>
        <w:t>Que corresponde asegurar la transparencia en este proceso...</w:t>
      </w:r>
    </w:p>
    <w:p>
      <w:pPr>
        <w:pStyle w:val="ListNumber"/>
        <w:numPr>
          <w:ilvl w:val="0"/>
          <w:numId w:val="4350"/>
        </w:numPr>
        <w:ind w:left="720" w:hanging="360"/>
      </w:pPr>
      <w:r>
        <w:t>Que, considerando los montos de la contratación...</w:t>
      </w:r>
    </w:p>
    <w:p>
      <w:pPr>
        <w:pStyle w:val="ListNumber"/>
        <w:numPr>
          <w:ilvl w:val="0"/>
          <w:numId w:val="4350"/>
        </w:numPr>
        <w:ind w:left="720" w:hanging="360"/>
      </w:pPr>
      <w:r>
        <w:t>Que revisado el catálogo de bienes y servicios...</w:t>
      </w:r>
    </w:p>
    <w:p>
      <w:pPr>
        <w:pStyle w:val="ListNumber"/>
        <w:numPr>
          <w:ilvl w:val="0"/>
          <w:numId w:val="4350"/>
        </w:numPr>
        <w:ind w:left="720" w:hanging="360"/>
      </w:pPr>
      <w:r>
        <w:t>Que, en consecuencia y en mérito de lo expuesto...</w:t>
      </w:r>
    </w:p>
    <w:p>
      <w:pPr>
        <w:pStyle w:val="ListNumber"/>
        <w:numPr>
          <w:ilvl w:val="0"/>
          <w:numId w:val="4350"/>
        </w:numPr>
        <w:ind w:left="720" w:hanging="360"/>
      </w:pPr>
      <w:r>
        <w:t>Que, en razón de lo expuesto y la normativa vigente;</w:t>
      </w:r>
    </w:p>
    <w:p>
      <w:pPr>
        <w:pStyle w:val="Heading2"/>
      </w:pPr>
      <w:r>
        <w:t>RESOLUCIÓN</w:t>
      </w:r>
    </w:p>
    <w:p>
      <w:pPr>
        <w:pStyle w:val="ListNumber"/>
        <w:numPr>
          <w:ilvl w:val="0"/>
          <w:numId w:val="7697"/>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7697"/>
        </w:numPr>
        <w:ind w:left="720" w:hanging="360"/>
      </w:pPr>
      <w:r>
        <w:rPr>
          <w:b/>
        </w:rPr>
        <w:t xml:space="preserve">ACOGIENDOSE </w:t>
      </w:r>
      <w:r>
        <w:t>al Art.º 25 del decreto 250 que aprueba el reglamento de la ley Nº 19.886...</w:t>
      </w:r>
    </w:p>
    <w:p>
      <w:pPr>
        <w:pStyle w:val="ListNumber"/>
        <w:numPr>
          <w:ilvl w:val="0"/>
          <w:numId w:val="7697"/>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5863"/>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5863"/>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5863"/>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pPr>
        <w:pStyle w:val="Heading2"/>
      </w:pPr>
      <w:r>
        <w:t>Consultas, Aclaraciones y modificaciones a las bases.</w:t>
      </w:r>
    </w:p>
    <w:p>
      <w:pPr>
        <w:pStyle w:val="ListBullet"/>
      </w:pPr>
      <w:r>
        <w:t>Las consultas de los participantes se deberán realizar únicamente a través del portal</w:t>
      </w:r>
      <w:r>
        <w:rPr>
          <w:b/>
        </w:rPr>
        <w:t xml:space="preserve"> 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pStyle w:val="ListBullet"/>
      </w:pPr>
      <w:r>
        <w:rPr>
          <w:b/>
        </w:rPr>
        <w:t>No serán admitidas las consultas formuladas fuera de plazo o por un conducto diferente al señalado.</w:t>
      </w:r>
    </w:p>
    <w:p>
      <w:pPr>
        <w:pStyle w:val="ListBullet"/>
      </w:pPr>
      <w:r>
        <w:t>“EL HOSPITAL” realizará las aclaraciones a las Bases comunicando las respuestas a través del Portal Web de Mercado Público, sitio</w:t>
      </w:r>
      <w:r>
        <w:rPr>
          <w:b/>
        </w:rPr>
        <w:t xml:space="preserve"> www.mercadopublico.cl</w:t>
      </w:r>
    </w:p>
    <w:p>
      <w:pPr>
        <w:pStyle w:val="ListBullet"/>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pStyle w:val="ListBullet"/>
      </w:pPr>
      <w:r>
        <w:t>“EL HOSPITAL” podrá modificar las presentes bases y sus anexos previa autorización por acto administrativo, durante el periodo de presentación de las ofertas, hasta antes de fecha de cierre de recepción de ofertas. Estas modificaciones, que se llewen a cabo, serán informadas a través del portal</w:t>
      </w:r>
      <w:r>
        <w:rPr>
          <w:b/>
        </w:rPr>
        <w:t xml:space="preserve"> www.mercadopublico.cl</w:t>
      </w:r>
    </w:p>
    <w:p>
      <w:pPr>
        <w:pStyle w:val="ListBullet"/>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pStyle w:val="ListBullet"/>
      </w:pPr>
      <w:r>
        <w:t>No se aceptarán consultas realizadas por otros medios, tales como correos electrónicos, fax u otros.</w:t>
      </w:r>
    </w:p>
    <w:p>
      <w:pPr>
        <w:pStyle w:val="Heading3"/>
      </w:pPr>
      <w:r>
        <w:t>Requisitos Mínimos para Participar.</w:t>
      </w:r>
    </w:p>
    <w:p>
      <w:pPr>
        <w:numPr>
          <w:ilvl w:val="0"/>
          <w:numId w:val="2333"/>
        </w:numPr>
        <w:ind w:left="720" w:hanging="360"/>
      </w:pPr>
      <w: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numPr>
          <w:ilvl w:val="0"/>
          <w:numId w:val="2333"/>
        </w:numPr>
        <w:ind w:left="720" w:hanging="360"/>
      </w:pPr>
      <w: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numPr>
          <w:ilvl w:val="0"/>
          <w:numId w:val="2333"/>
        </w:numPr>
        <w:ind w:left="720" w:hanging="360"/>
      </w:pPr>
      <w: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numPr>
          <w:ilvl w:val="0"/>
          <w:numId w:val="2333"/>
        </w:numPr>
        <w:ind w:left="720" w:hanging="360"/>
      </w:pPr>
      <w:r>
        <w:t>Tratándose exclusivamente de una persona jurídica, no haber sido condenada conforme a la ley N° 20.393 a la pena de prohibición de celebrar actos y contratos con el Estado, mientras esta pena esté vigente.</w:t>
      </w:r>
    </w:p>
    <w:p>
      <w:pPr>
        <w:numPr>
          <w:ilvl w:val="0"/>
          <w:numId w:val="2333"/>
        </w:numPr>
        <w:ind w:left="720" w:hanging="360"/>
      </w:pPr>
      <w: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numPr>
          <w:ilvl w:val="0"/>
          <w:numId w:val="2333"/>
        </w:numPr>
        <w:ind w:left="720" w:hanging="360"/>
      </w:pPr>
      <w:r>
        <w:t xml:space="preserve">En caso de que los antecedentes administrativos solicitados en esta sección no sean entregados y/o completados en forma correcta y oportuna, se desestimará la propuesta, no será evaluada y será declarada </w:t>
      </w:r>
      <w:r>
        <w:rPr>
          <w:b/>
        </w:rPr>
        <w:t>inadmisible</w:t>
      </w:r>
      <w:r>
        <w:t>.</w:t>
      </w:r>
    </w:p>
    <w:p>
      <w:pPr>
        <w:pStyle w:val="Heading2"/>
      </w:pPr>
      <w:r>
        <w:t>Instrucciones para la Presentación de Ofertas.</w:t>
      </w:r>
    </w:p>
    <w:p>
      <w:pPr>
        <w:pStyle w:val="Heading2"/>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vAlign w:val="center"/>
          </w:tcPr>
          <w:p>
            <w:r>
              <w:t>Presentar Ofertas por Sistema.</w:t>
            </w:r>
          </w:p>
        </w:tc>
        <w:tc>
          <w:tcPr>
            <w:tcW w:type="dxa" w:w="4320"/>
            <w:vAlign w:val="center"/>
          </w:tcPr>
          <w:p>
            <w:r>
              <w:t>Obligatorio.</w:t>
            </w:r>
          </w:p>
        </w:tc>
      </w:tr>
      <w:tr>
        <w:tc>
          <w:tcPr>
            <w:tcW w:type="dxa" w:w="4320"/>
            <w:vAlign w:val="center"/>
          </w:tcPr>
          <w:p>
            <w:r>
              <w:t>Anexos Administrativos.</w:t>
            </w:r>
          </w:p>
        </w:tc>
        <w:tc>
          <w:tcPr>
            <w:tcW w:type="dxa" w:w="4320"/>
            <w:vAlign w:val="center"/>
          </w:tcPr>
          <w:p>
            <w:r>
              <w:rPr>
                <w:b/>
              </w:rPr>
              <w:t>Anexo N° 1 Identificación del Oferente.</w:t>
            </w:r>
          </w:p>
          <w:p>
            <w:r>
              <w:rPr>
                <w:b/>
              </w:rPr>
              <w:t>Anexo N° 2 Declaración Jurada de Habilidad.</w:t>
            </w:r>
          </w:p>
          <w:p>
            <w:r>
              <w:rPr>
                <w:b/>
              </w:rPr>
              <w:t>Anexo N° 3 Declaración Jurada de Cumplimiento de Obligaciones Laborales y Previsionales.</w:t>
            </w:r>
          </w:p>
          <w:p>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tc>
          <w:tcPr>
            <w:tcW w:type="dxa" w:w="4320"/>
            <w:vAlign w:val="center"/>
          </w:tcPr>
          <w:p>
            <w:r>
              <w:t>Anexos</w:t>
              <w:br/>
              <w:t>Económicos.</w:t>
            </w:r>
          </w:p>
        </w:tc>
        <w:tc>
          <w:tcPr>
            <w:tcW w:type="dxa" w:w="4320"/>
            <w:vAlign w:val="center"/>
          </w:tcPr>
          <w:p>
            <w:r>
              <w:rPr>
                <w:b/>
              </w:rPr>
              <w:t>Anexo N°5: Oferta económica</w:t>
            </w:r>
          </w:p>
          <w:p>
            <w:r>
              <w:t>El anexo referido debe ser ingresado a través del sistema www.mercadopublico.cl , en la sección Anexos Económicos.</w:t>
            </w:r>
          </w:p>
          <w:p>
            <w:r>
              <w:t xml:space="preserve">En caso de que no se presente debidamente el Anexo N°5 “Oferta económica”, la oferta será declarada </w:t>
            </w:r>
            <w:r>
              <w:rPr>
                <w:b/>
              </w:rPr>
              <w:t>inadmisible</w:t>
            </w:r>
          </w:p>
        </w:tc>
      </w:tr>
      <w:tr>
        <w:tc>
          <w:tcPr>
            <w:tcW w:type="dxa" w:w="4320"/>
            <w:vAlign w:val="center"/>
          </w:tcPr>
          <w:p>
            <w:r>
              <w:t>Anexos Técnicos.</w:t>
            </w:r>
          </w:p>
        </w:tc>
        <w:tc>
          <w:tcPr>
            <w:tcW w:type="dxa" w:w="4320"/>
            <w:vAlign w:val="center"/>
          </w:tcPr>
          <w:p>
            <w:r>
              <w:rPr>
                <w:b/>
              </w:rPr>
              <w:t>Anexo N°6: Evaluación Técnica</w:t>
            </w:r>
          </w:p>
          <w:p>
            <w:r>
              <w:rPr>
                <w:b/>
              </w:rPr>
              <w:t>Anexo N°7: Ficha Técnica</w:t>
            </w:r>
          </w:p>
          <w:p>
            <w:r>
              <w:rPr>
                <w:b/>
              </w:rPr>
              <w:t>Anexo N°8: Plazo de Entrega</w:t>
            </w:r>
          </w:p>
          <w:p>
            <w:r>
              <w:rPr>
                <w:b/>
              </w:rPr>
              <w:t>Anexo N°9: Servicio Post-venta</w:t>
            </w:r>
          </w:p>
          <w:p>
            <w:r>
              <w:t>Los anexos referidos deben ser ingresados a través del sistema www.mercadopublico.cl. en la sección Anexos Técnicos.</w:t>
            </w:r>
          </w:p>
          <w:p>
            <w:r>
              <w:t xml:space="preserve">En el caso que no se presente debidamente los Anexos N°7, N°8 y N°9 la oferta será declarada </w:t>
            </w:r>
            <w:r>
              <w:rPr>
                <w:b/>
              </w:rPr>
              <w:t>inadmisible</w:t>
            </w:r>
          </w:p>
        </w:tc>
      </w:tr>
    </w:tbl>
    <w:p>
      <w:pPr>
        <w:pStyle w:val="Heading3"/>
      </w:pPr>
      <w:r>
        <w:t>Observaciones</w:t>
      </w:r>
    </w:p>
    <w:p>
      <w: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aclaraciones de las ofertas realizadas a través del portal.</w:t>
      </w:r>
    </w:p>
    <w:p>
      <w:pPr>
        <w:pStyle w:val="Heading2"/>
      </w:pPr>
      <w:r>
        <w:t>Antecedentes legales para poder ser contratado.</w:t>
      </w:r>
    </w:p>
    <w:tbl>
      <w:tblPr>
        <w:tblStyle w:val="TableGrid"/>
        <w:tblW w:type="auto" w:w="0"/>
        <w:tblLook w:firstColumn="1" w:firstRow="1" w:lastColumn="0" w:lastRow="0" w:noHBand="0" w:noVBand="1" w:val="04A0"/>
      </w:tblPr>
      <w:tblGrid>
        <w:gridCol w:w="2880"/>
        <w:gridCol w:w="2880"/>
        <w:gridCol w:w="2880"/>
      </w:tblGrid>
      <w:tr>
        <w:tc>
          <w:tcPr>
            <w:tcW w:type="dxa" w:w="2880"/>
            <w:vMerge w:val="restart"/>
          </w:tcPr>
          <w:p>
            <w:r>
              <w:t>Si el oferente</w:t>
              <w:br/>
              <w:t>es Persona</w:t>
              <w:br/>
              <w:t>Natural</w:t>
            </w:r>
          </w:p>
        </w:tc>
        <w:tc>
          <w:tcPr>
            <w:tcW w:type="dxa" w:w="2880"/>
          </w:tcPr>
          <w:p>
            <w:r>
              <w:rPr>
                <w:b/>
              </w:rPr>
              <w:t>Inscripción (en estado hábil) en el Registro electrónico oficial de contratistas de la Administración, en adelante “</w:t>
            </w:r>
            <w:r>
              <w:rPr>
                <w:b/>
              </w:rPr>
              <w:t>Registro de Proveedores</w:t>
            </w:r>
            <w:r>
              <w:rPr>
                <w:b/>
              </w:rPr>
              <w:t>”.</w:t>
            </w:r>
          </w:p>
        </w:tc>
        <w:tc>
          <w:tcPr>
            <w:tcW w:type="dxa" w:w="2880"/>
            <w:vMerge w:val="restart"/>
          </w:tcPr>
          <w:p>
            <w:r>
              <w:t>Acreditar en</w:t>
              <w:br/>
              <w:t>el Registro de</w:t>
              <w:br/>
              <w:t>Proveedores</w:t>
            </w:r>
          </w:p>
        </w:tc>
      </w:tr>
      <w:tr>
        <w:tc>
          <w:tcPr>
            <w:tcW w:type="dxa" w:w="2880"/>
            <w:vMerge/>
          </w:tcPr>
          <w:p/>
        </w:tc>
        <w:tc>
          <w:tcPr>
            <w:tcW w:type="dxa" w:w="2880"/>
          </w:tcPr>
          <w:p>
            <w:r>
              <w:rPr>
                <w:b/>
              </w:rPr>
              <w:t>Anexo N°3. Declaración Jurada de Cumplimiento de Obligaciones Laborales y Previsionales.</w:t>
            </w:r>
          </w:p>
        </w:tc>
        <w:tc>
          <w:tcPr>
            <w:tcW w:type="dxa" w:w="2880"/>
            <w:vMerge/>
          </w:tcPr>
          <w:p/>
        </w:tc>
      </w:tr>
      <w:tr>
        <w:tc>
          <w:tcPr>
            <w:tcW w:type="dxa" w:w="2880"/>
            <w:vMerge/>
          </w:tcPr>
          <w:p/>
        </w:tc>
        <w:tc>
          <w:tcPr>
            <w:tcW w:type="dxa" w:w="2880"/>
          </w:tcPr>
          <w:p>
            <w:r>
              <w:t>Todos los Anexos deben ser firmados por la persona natural respectiva.</w:t>
            </w:r>
          </w:p>
        </w:tc>
        <w:tc>
          <w:tcPr>
            <w:tcW w:type="dxa" w:w="2880"/>
            <w:vMerge/>
          </w:tcPr>
          <w:p/>
        </w:tc>
      </w:tr>
      <w:tr>
        <w:tc>
          <w:tcPr>
            <w:tcW w:type="dxa" w:w="2880"/>
            <w:vMerge/>
          </w:tcPr>
          <w:p/>
        </w:tc>
        <w:tc>
          <w:tcPr>
            <w:tcW w:type="dxa" w:w="2880"/>
          </w:tcPr>
          <w:p>
            <w:r>
              <w:t>Fotocopia de su cédula de identidad.</w:t>
            </w:r>
          </w:p>
        </w:tc>
        <w:tc>
          <w:tcPr>
            <w:tcW w:type="dxa" w:w="2880"/>
            <w:vMerge/>
          </w:tcPr>
          <w:p/>
        </w:tc>
      </w:tr>
      <w:tr>
        <w:tc>
          <w:tcPr>
            <w:tcW w:type="dxa" w:w="2880"/>
            <w:vMerge w:val="restart"/>
          </w:tcPr>
          <w:p>
            <w:r>
              <w:t>Si el oferente</w:t>
              <w:br/>
              <w:t>no es</w:t>
              <w:br/>
              <w:t>Persona</w:t>
              <w:br/>
              <w:t>Natural</w:t>
            </w:r>
          </w:p>
        </w:tc>
        <w:tc>
          <w:tcPr>
            <w:tcW w:type="dxa" w:w="2880"/>
          </w:tcPr>
          <w:p>
            <w:r>
              <w:rPr>
                <w:b/>
              </w:rPr>
              <w:t>Inscripción (en estado hábil) en el Registro de Proveedores.</w:t>
            </w:r>
          </w:p>
        </w:tc>
        <w:tc>
          <w:tcPr>
            <w:tcW w:type="dxa" w:w="2880"/>
            <w:vMerge w:val="restart"/>
          </w:tcPr>
          <w:p>
            <w:r>
              <w:t>Acreditar en</w:t>
              <w:br/>
              <w:t>el Registro de</w:t>
              <w:br/>
              <w:t>Proveedores</w:t>
            </w:r>
          </w:p>
        </w:tc>
      </w:tr>
      <w:tr>
        <w:tc>
          <w:tcPr>
            <w:tcW w:type="dxa" w:w="2880"/>
            <w:vMerge/>
          </w:tcPr>
          <w:p/>
        </w:tc>
        <w:tc>
          <w:tcPr>
            <w:tcW w:type="dxa" w:w="2880"/>
          </w:tcPr>
          <w:p>
            <w: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type="dxa" w:w="2880"/>
            <w:vMerge/>
          </w:tcPr>
          <w:p/>
        </w:tc>
      </w:tr>
      <w:tr>
        <w:tc>
          <w:tcPr>
            <w:tcW w:type="dxa" w:w="2880"/>
            <w:vMerge/>
          </w:tcPr>
          <w:p/>
        </w:tc>
        <w:tc>
          <w:tcPr>
            <w:tcW w:type="dxa" w:w="2880"/>
          </w:tcPr>
          <w:p>
            <w:r>
              <w:t>Certificado de Vigencia de la Sociedad con una antigüedad no superior a 60 días corridos, contados desde la fecha de notificación de la</w:t>
            </w:r>
          </w:p>
        </w:tc>
        <w:tc>
          <w:tcPr>
            <w:tcW w:type="dxa" w:w="2880"/>
            <w:vMerge/>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