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Федеральное государственное автономное образовательное учреждение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высшего образования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«Национальный исследовательский университет «Высшая школа экономики»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Факультет компьютерных наук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Образовательная программа «Компьютерные науки и анализ данных»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Направление подготовки 01.03.02 Прикладная математика и информатика</w:t>
      </w:r>
    </w:p>
    <w:p>
      <w:pPr>
        <w:spacing w:line="360" w:lineRule="auto" w:after="192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бакалавриат</w:t>
      </w:r>
    </w:p>
    <w:p>
      <w:pPr>
        <w:spacing w:line="360" w:lineRule="auto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36"/>
        </w:rPr>
        <w:t>О Т Ч Е Т</w:t>
      </w:r>
    </w:p>
    <w:p>
      <w:pPr>
        <w:spacing w:line="360" w:lineRule="auto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по преддипломной практике</w:t>
      </w:r>
    </w:p>
    <w:p>
      <w:pPr>
        <w:spacing w:line="360" w:lineRule="auto" w:after="192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Enhancing Deep Hedging: Architecture, Optimisation, and Generalisation for Derivative Pricing Under Transaction Costs</w:t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4"/>
        </w:rPr>
        <w:t>Выполнил студент гр. БПМИ221</w:t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4"/>
        </w:rPr>
        <w:t>Чистяков Артём</w:t>
      </w:r>
    </w:p>
    <w:p>
      <w:pPr>
        <w:spacing w:line="360" w:lineRule="auto" w:after="96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4"/>
        </w:rPr>
        <w:t>_____________ (подпись)</w:t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4"/>
        </w:rPr>
        <w:t>Проверил:</w:t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4"/>
        </w:rPr>
        <w:t>Пифтахин Геннадий, VP, Sberbank Risk Management</w:t>
      </w:r>
    </w:p>
    <w:p>
      <w:pPr>
        <w:spacing w:line="360" w:lineRule="auto" w:after="96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4"/>
        </w:rPr>
        <w:t>_____________ (подпись)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Москва, 2026</w:t>
      </w:r>
    </w:p>
    <w:p>
      <w:r>
        <w:br w:type="page"/>
      </w:r>
    </w:p>
    <w:p>
      <w:pPr>
        <w:spacing w:before="3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32"/>
        </w:rPr>
        <w:t>1. Цели и задачи практики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Цель практики — улучшить базовый агент Deep Hedging (Buehler et al., 2019) для хеджирования европейского колла под моделью Heston с пропорциональными транзакционными издержками по метрике SoftMin (энтропийная риск-мера) и зафиксировать контролируемым ablation-ем, какие инженерные приёмы в сетапе Monte Carlo Policy Gradient (MCPG) дают устойчивый выигрыш.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Задачи практики:</w:t>
      </w:r>
    </w:p>
    <w:p>
      <w:pPr>
        <w:pStyle w:val="ListBullet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реализовать эталонные не-RL стратегии: LSMC-дельту и closed-form Heston-дельту;</w:t>
      </w:r>
    </w:p>
    <w:p>
      <w:pPr>
        <w:pStyle w:val="ListBullet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воспроизвести базовый Deep Hedging как MLP-политику, обучаемую pathwise-градиентом через симулятор SDE;</w:t>
      </w:r>
    </w:p>
    <w:p>
      <w:pPr>
        <w:pStyle w:val="ListBullet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провести ablation по: архитектуре (MLP vs PAF-эмбеддинг), входным фичам (включение running P&amp;L), инициализации (default / zero-last-layer / pretrain-на-дельту), стохастической регуляризации (SAC-энтропия), структуре выхода (δ vs δ = δ_BSM + Δ);</w:t>
      </w:r>
    </w:p>
    <w:p>
      <w:pPr>
        <w:pStyle w:val="ListBullet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реализовать и сравнить оптимизаторы: Adam, K-FAC (Kronecker-factored natural gradient) и Muon (ортогонализованный моментум);</w:t>
      </w:r>
    </w:p>
    <w:p>
      <w:pPr>
        <w:pStyle w:val="ListBullet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сопоставить все конфигурации на общем test-set по SoftMin и выбрать лучшую для последующего переноса в ВКР на реальные данные Deribit BTC/ETH.</w:t>
      </w:r>
    </w:p>
    <w:p>
      <w:pPr>
        <w:spacing w:before="3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32"/>
        </w:rPr>
        <w:t>2. Постановка задачи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Рассматривается модель Heston: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dS_t = r S_t dt + √v_t S_t dW_t^1,     dv_t = κ(θ − v_t) dt + ξ √v_t dW_t^2,     corr(dW^1, dW^2) = 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Трейдер продал европейский колл с payoff max(S_T − K, 0) и хеджирует позицию динамически, ребалансируя портфель в моменты t_i = i·T/N, i = 0, …, N. Платёж за сделку пропорционален обороту: fee_i = c · |Δδ_i| · S_{t_i}. Портфель самофинансируемый.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Политика δ_θ(state_t) параметризуется нейронной сетью с входом state_t = (S_t, v_t, τ_t, δ_{t-1}) либо расширенным (S_t, v_t, τ_t, δ_{t-1}, cash_t + δ_{t-1} S_t) при включённой фиче running P&amp;L. Терминальный P&amp;L на одном пути: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PnL(ω) = cash_T(ω) − max(S_T(ω) − K, 0).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Функционал — энтропийная риск-мера (SoftMin):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L(θ) = (1/a) · log E_ω[ exp(−a · PnL_θ(ω)) 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θ оптимизируется end-to-end pathwise-градиентом через дифференцируемый симулятор SDE (Monte Carlo Policy Gradient). В работе используются параметры S₀ = 100, v₀ = 0.04, r = 0.01, κ = 2.0, θ = 0.04, ξ = 0.1, ρ = −0.7, T = 1 год, N = 30, K = 100, c = 10⁻³ (10 б. п.), a = 1.0.</w:t>
      </w:r>
    </w:p>
    <w:p>
      <w:pPr>
        <w:spacing w:before="3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32"/>
        </w:rPr>
        <w:t>3. Актуальность темы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Классическая дельта-стратегия Блэка–Шоулза оптимальна в пределе непрерывной торговли без трений. На практике обе предпосылки нарушаются: ребалансировка дискретна, каждая сделка стоит денег. Асимптотические поправки Леланда (1985) и no-trade band Уолли–Уилмотта (1997) требуют модельно-специфичных выводов и плохо переносятся на экзотические payoff-ы.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Deep Hedging (Buehler et al., 2019) предлагает обходной путь — end-to-end обучение нейронной политики на симулированных траекториях. Однако базовый MLP-агент Бюлера не даёт стабильного преимущества над closed-form дельтой под моделью Heston: в нашем ablation плоский DH показывает SoftMin = 10.42, тогда как Heston-CF дельта — 9.55. Чтобы DH действительно стал рабочим инструментом, нужна инженерия поверх базового рецепта.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Два направления инженерии в DH-литературе недоизучены: (i) признаковые эмбеддинги в духе tabular-DL (Gorishniy et al., 2022), (ii) оптимизаторы второго порядка. По второму пункту в 2024 году появились работы Mueller et al. (ICAIF '24) и Enkhbayar (arXiv-препринт), применяющие K-FAC к DH и сообщающие о сокращении числа итераций в 4 раза. По первому пункту DH-специфичных публикаций найти не удалось — это потенциально новый вклад для выпускной работы.</w:t>
      </w:r>
    </w:p>
    <w:p>
      <w:pPr>
        <w:spacing w:before="3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32"/>
        </w:rPr>
        <w:t>4. Обзор существующих методов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4.1. Классические аналитические методы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Black–Scholes (1973) и Merton (1973) дают дельту в замкнутой форме при нулевых издержках и непрерывной торговле. Heston (1993) обобщает ценообразование на стохастическую волатильность; дельта получается численно через интеграл характеристической функции и используется нами как эталон. Longstaff–Schwartz (2001) и Haugh–Kogan (2004) предложили регрессионную LSMC-дельту — практичный бейзлайн без замкнутой формы.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Под трениями Leland (1985) адаптирует волатильность в формуле BS; Whalley–Wilmott (1997) получают оптимальный no-trade band, масштабирующийся как c^{1/3}; Davis–Panas–Zariphopoulou (1993) и Cvitanić–Karatzas (1996) решают задачу через максимизацию полезности. Все эти методы опираются на модельные предпосылки и плохо обобщаются на экзотику и реальные данные.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4.2. Deep Hedging и расширения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Buehler, Gonon, Teichmann, Wood «Deep Hedging» (Quantitative Finance, 2019) — исходная формулировка MCPG для хеджирования: рекуррентная нейросеть обучается минимизировать выпуклую риск-меру P&amp;L с учётом fee, на симулированных путях Heston. Buehler et al. (2022) «Deep Bellman Hedging» вводят actor-critic с явным Bellman-уравнением для выпуклых риск-мер. Cao, Chen, Hull, Poulos (Journal of Financial Data Science, 2021) применяют distributional RL к дельта- и гамма-хеджингу под целью «среднее + станд. отклонение». Murray et al. (ICAIF 2022) используют экспоненциально-мультипликативную версию уравнения Беллмана для exp-utility. Qiao и Wan (arXiv:2407.19367, 2024) первыми в DH формулируют политику как δ_net = δ_BSM + residual — параметризация, которую мы применяем в DH-Deviation.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4.3. K-FAC и оптимизация в Deep Hedging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Martens и Grosse (ICML 2015) предложили K-FAC — аппроксимацию Фишер-матрицы в виде блок-Кронекерова произведения факторов A⊗G, позволяющую делать шаг натурального градиента без явного обращения квадратной матрицы размера num_params. Wu et al. (ACKTR, NeurIPS 2017) перенесли K-FAC на policy-gradient. В DH: Mueller, Akkari, Gonon, Wood «Fast Deep Hedging with Second-Order Optimization» (ICAIF '24, ACM) — каноническая ссылка, сообщающая ~4× сокращение числа итераций против Adam на cliquet-хедже под stochastic vol. Enkhbayar (arXiv:2411.15002, 2024) — LSTM-хеджер + K-FAC; препринт, на апрель 2026 не опубликован в рецензируемом виде.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4.4. Признаковые эмбеддинги в tabular DL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Rahimi и Recht (NeurIPS 2007) — random Fourier features для аппроксимации ядерных методов. Tancik et al. (NeurIPS 2020) и Sitzmann et al. SIREN (NeurIPS 2020) — периодические эмбеддинги и активации для координатных MLP. Gorishniy, Rubachev, Babenko (NeurIPS 2022) переносят периодическое кодирование скалярных признаков на tabular DL. Поиск в arXiv, Google Scholar, SSRN и DBLP по запросам "deep hedging + Fourier features / periodic embedding / SIREN / Tancik / random Fourier" не дал DH-специфичных работ — значит, применение PAF в политике DH можно считать новым.</w:t>
      </w:r>
    </w:p>
    <w:p>
      <w:pPr>
        <w:spacing w:before="3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32"/>
        </w:rPr>
        <w:t>5. Выбор методов решения. Обоснование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Выбор каждого компонента стека: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Риск-мера — SoftMin (энтропийная).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Дуальна к exp-utility, выпукла, монотонна, гладкая; используется в оригинальной работе Buehler и в большинстве последующих. Выбор a = 1.0 согласован с Mueller 2024.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Симулятор — Heston.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Минимальная стохастическая volatility-модель, где classical BSM-дельта уже не оптимальна и где есть нетривиальный корреляционный риск (leverage effect ρ = −0.7). Симуляция по схеме Эйлера-full-truncation.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Базовый тренер — MCPG (pathwise).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Дифференцируемый симулятор делает pathwise-оценку градиента низкодисперсной по сравнению со score-function (REINFORCE). Этот выбор фиксируется по всей работе — мы не меняем сам алгоритм, а улучшаем обучаемую политику.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PAF-эмбеддинг входа.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Глобальная Periodic Adaptive Fourier параметризация: emb(x) = [sin(x B), cos(x B)], B ∈ ℝ^{d_in × n_freq} — обучаемая. Мотивация из tabular DL (Gorishniy 2022): периодическое кодирование помогает сети выразить высокочастотные зависимости от S и τ, что плохо даётся MLP. DH-применений PAF в литературе не найдено.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Running P&amp;L как фича.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cash_t + δ_{t-1} S_t добавляется в state. Мотивация: в дискретной ребалансировке с fee задача не марковская по (S, v) — прошлый P&amp;L несёт информацию о том, насколько агент уже «отклонился». Buehler 2019 включает его неявно через рекуррентность; Cao-Hull 2021 эксплицитно. Murray 2022 наоборот считает эту фичу избыточной — конфликт, который и проверяется в ablation.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Deviation-head и zero-last-layer init.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Сеть выдаёт не δ целиком, а отклонение от BSM-дельты: δ_total = δ_BSM(S_t, √v_t, τ_t) + net(features). Первая часть — из Qiao–Wan 2024. В сочетании с zero-last-layer init (веса последнего линейного слоя зануляются) агент стартует строго как δ_BSM — хорошее начало даже до первого градиентного шага. Pairing этих двух трюков в DH-литературе не зафиксирован — потенциально оригинальный вклад.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Оптимизаторы — Adam / K-FAC / Muon.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Adam — бейзлайн. K-FAC реализован напрямую с forward-pre и full-backward-хуками: хуки копят статистики активаций A = E[ãã^⊤] (с добавленной 1 для bias) и градиентов G = E[g g^⊤], обновление делается как g̃ = (G + λI)^{−1} g_W (A + λI)^{−1} с trust-region-клипом. Для работы в time-unrolled цикле активации складываются в LIFO-стек и pop-ятся в backward — последовательность совпадает с реверсным обходом графа. Muon — ортогонализация моментум-буфера через 5 шагов квинтической итерации Ньютона-Шульца (Jordan 2024); для 2D-весов, остальные параметры идут в fallback-Adam.</w:t>
      </w:r>
    </w:p>
    <w:p>
      <w:pPr>
        <w:spacing w:before="3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32"/>
        </w:rPr>
        <w:t>6. План решения поставленной задачи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Репозиторий: src/ — библиотека, heston_comparison.ipynb — интерактивный ablation. Основные шаги реализации:</w:t>
      </w:r>
    </w:p>
    <w:p>
      <w:pPr>
        <w:pStyle w:val="ListNumber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src/samplers.py — HestonSampler (схема Эйлера full-truncation, коррелированные W¹, W²).</w:t>
      </w:r>
    </w:p>
    <w:p>
      <w:pPr>
        <w:pStyle w:val="ListNumber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src/deltas.py — LSMC-дельта через polynomial regression на сетке состояний; Heston closed-form дельта через интеграл характеристической функции.</w:t>
      </w:r>
    </w:p>
    <w:p>
      <w:pPr>
        <w:pStyle w:val="ListNumber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src/backtest.py — torch_backtest: дифференцируемый self-financing симулятор портфеля, возвращает тензор (PnL, fees) с градиентом по θ.</w:t>
      </w:r>
    </w:p>
    <w:p>
      <w:pPr>
        <w:pStyle w:val="ListNumber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src/models.py — HedgePolicy с конфигурируемыми architecture (mlp / paf / paf_fw), skip-connection в эмбеддинге и опцией zero_last_layer.</w:t>
      </w:r>
    </w:p>
    <w:p>
      <w:pPr>
        <w:pStyle w:val="ListNumber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src/trainers.py — _BaseTrainer (val-loss, early stop, best-checkpoint) и специализации: DeepHedgingTrainer (vanilla MCPG + опциональный pretrain-делта), SACTrainer (энтропийная регуляризация через reparameterization), DeviationTrainer (residual-head с BSM).</w:t>
      </w:r>
    </w:p>
    <w:p>
      <w:pPr>
        <w:pStyle w:val="ListNumber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src/trainers.py — KFACOptimizer (forward-pre и full-backward хуки, EMA обновление A, G, обращение с Tikhonov-дампингом каждые update_freq шагов, trust-region gradient-norm clip) и Muon (Newton-Schulz 5 с коэффициентами (3.4445, −4.7750, 2.0315), scale max(1, h/w)^{1/2}).</w:t>
      </w:r>
    </w:p>
    <w:p>
      <w:pPr>
        <w:pStyle w:val="ListNumber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Запуск ablation: общие val/test-наборы из 5000 путей, 10000 эпох, M_train = 3000, log каждые 200 эпох, early stop при 100 проверках без улучшения, best-model restoration.</w:t>
      </w:r>
    </w:p>
    <w:p>
      <w:pPr>
        <w:pStyle w:val="ListNumber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Evaluation: финальный SoftMin на test-set; pnl-mean и pnl-std как дополнительные метрики; learning curves сохраняются в results/*.json.</w:t>
      </w:r>
    </w:p>
    <w:p>
      <w:pPr>
        <w:spacing w:before="3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32"/>
        </w:rPr>
        <w:t>7. Полученные результаты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Таблица 1. SoftMin на общем test-set (5000 путей, a = 1.0). Δ показан относительно Heston-CF дельты как абсолютное улучшение по SoftMin (отрицательное — лучше).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Метод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SoftMin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Δ к Heston CF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Замечание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Delta LSMC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9.9928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+0.44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регрессионная дельта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Delta CF (Heston)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9.5526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0.00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эталон (closed-form)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DH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10.4207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+0.87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плоский MLP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DH-PAF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9.3405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−0.21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PAF-эмбеддинг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DH-PnL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9.8311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+0.28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MLP + running P&amp;L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DH-PAF-PnL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169.13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div.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расходимость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DH-SAC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9.1738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−0.38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энтропийная регуляризация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DH-PAF-PnL-Pretrain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197.15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div.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расходимость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DH-Deviation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9.1394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−0.41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residual-head, Adam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DH-Deviation-KFAC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9.0897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−0.46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лучший; K-FAC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DH-Deviation-Muon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9.2422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−0.31</w:t>
            </w:r>
          </w:p>
        </w:tc>
        <w:tc>
          <w:tcPr>
            <w:tcW w:type="dxa" w:w="2339"/>
          </w:tcPr>
          <w:p>
            <w:r/>
            <w:r>
              <w:rPr>
                <w:rFonts w:ascii="Times New Roman" w:hAnsi="Times New Roman" w:cs="Times New Roman" w:eastAsia="Times New Roman"/>
                <w:sz w:val="22"/>
              </w:rPr>
              <w:t>Muon (lr=2e-2)</w:t>
            </w:r>
          </w:p>
        </w:tc>
      </w:tr>
    </w:tbl>
    <w:p>
      <w:pPr>
        <w:spacing w:line="360" w:lineRule="auto" w:before="24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Ключевые наблюдения:</w:t>
      </w:r>
    </w:p>
    <w:p>
      <w:pPr>
        <w:pStyle w:val="ListNumber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Плоский Deep Hedging (10.42) проигрывает даже LSMC-дельте (9.99) — это подтверждает тезис, что без инженерии базовый агент Бюлера не является рабочим бейзлайном на Heston.</w:t>
      </w:r>
    </w:p>
    <w:p>
      <w:pPr>
        <w:pStyle w:val="ListNumber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PAF-эмбеддинг сам по себе (9.34) уже обходит обе эталонные дельты, включая closed-form (9.55). Это самая крупная единичная прибавка в стеке — при добавлении PAF результат сразу переходит в положительную по SoftMin-Δ зону.</w:t>
      </w:r>
    </w:p>
    <w:p>
      <w:pPr>
        <w:pStyle w:val="ListNumber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Running P&amp;L как фича при случайной инициализации разрушает обучение в паре с PAF: DH-PAF-PnL и DH-PAF-PnL-Pretrain выдают SoftMin ≫ 100 (численная расходимость). Фича вносит сильный негладкий сигнал, и сети нужен хороший стартовый чекпоинт.</w:t>
      </w:r>
    </w:p>
    <w:p>
      <w:pPr>
        <w:pStyle w:val="ListNumber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Residual-head (δ = δ_BSM + net) снимает расходимость: DH-Deviation с теми же входами и той же PAF-архитектурой даёт 9.14 — лучший результат среди конфигураций с Adam-оптимизатором.</w:t>
      </w:r>
    </w:p>
    <w:p>
      <w:pPr>
        <w:pStyle w:val="ListNumber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SAC-регуляризация (9.17) даёт улучшение, сопоставимое по порядку с deviation-head, но путь обучения заметно шумнее (см. learning curves в разделе 15 ноутбука).</w:t>
      </w:r>
    </w:p>
    <w:p>
      <w:pPr>
        <w:pStyle w:val="ListNumber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K-FAC даёт небольшое, но устойчивое улучшение поверх DH-Deviation-Adam: 9.0897 против 9.1394. Это согласуется качественно с Mueller 2024 (ICAIF '24): natural gradient даёт шаги, лучше выровненные по кривизне, и находит чуть более глубокий минимум за то же число эпох.</w:t>
      </w:r>
    </w:p>
    <w:p>
      <w:pPr>
        <w:pStyle w:val="ListNumber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Muon (9.24) оказался чуть хуже K-FAC при lr = 2 × 10⁻². Muon чувствителен к LR; в ВКР планируется sweep lr и momentum.</w:t>
      </w:r>
    </w:p>
    <w:p>
      <w:pPr>
        <w:pStyle w:val="ListNumber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Итоговая лучшая конфигурация — DH-Deviation-KFAC — это стек пяти трюков: PAF-эмбеддинг + running P&amp;L + residual-head (δ_BSM + net) + zero-last-layer init + K-FAC preconditioner. Улучшение относительно closed-form Heston-дельты составляет 0.46 по SoftMin.</w:t>
      </w:r>
    </w:p>
    <w:p>
      <w:pPr>
        <w:spacing w:before="3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32"/>
        </w:rPr>
        <w:t>8. Выводы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Главный результат практики — документированный ablation, который показывает, что не один отдельный трюк, а сочетание пяти приёмов обеспечивает устойчивое преимущество Deep Hedging над закрытой Heston-дельтой: PAF-эмбеддинг входа, running P&amp;L как фича, residual-параметризация выхода от BSM-дельты, zero-last-layer инициализация, K-FAC в качестве оптимизатора. SoftMin на общем test-set: 9.0897 у лучшей DH-конфигурации против 9.5526 у эталонной closed-form дельты.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Отдельно стоит отметить атрибуцию каждого компонента. Running P&amp;L (Buehler 2019, Cao 2021), residual-head (Qiao–Wan 2024) и K-FAC-для-DH (Mueller 2024, ICAIF '24) опубликованы ранее. А вот PAF-эмбеддинг как вход политики в DH и комбинация zero-last-layer init с residual-head в DH-специфичной литературе обнаружить не удалось — это кандидаты на новый вклад в ВКР.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Отрицательный результат тоже полезен: running P&amp;L как фича при случайной инициализации и без residual-структуры приводит к численной расходимости (SoftMin ≫ 100). Это объясняет, почему прямое расширение входа политики не дало результата в предыдущих попытках и почему residual-параметризация — не факультатив, а обязательный компонент, когда используется дополнительная P&amp;L-фича.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Задачи ВКР, опирающиеся на результаты практики:</w:t>
      </w:r>
    </w:p>
    <w:p>
      <w:pPr>
        <w:pStyle w:val="ListBullet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перенос лучшей конфигурации (DH-Deviation-KFAC) на реальные данные: BTC и ETH опционы с Deribit, с Dupire LVM-дельтой в качестве бейзлайна;</w:t>
      </w:r>
    </w:p>
    <w:p>
      <w:pPr>
        <w:pStyle w:val="ListBullet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разработка universal-модели: добавить параметры опциона (log-moneyness, τ, тип) во входной state и обучить один агент на смеси контрактов — inference на unseen опционы без переобучения;</w:t>
      </w:r>
    </w:p>
    <w:p>
      <w:pPr>
        <w:pStyle w:val="ListBullet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sweep гиперпараметров K-FAC (damping, update_freq, ema_decay) и схем LR (cosine, warm-up) — эти оси в рамках практики не покрыты;</w:t>
      </w:r>
    </w:p>
    <w:p>
      <w:pPr>
        <w:pStyle w:val="ListBullet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расширение стека на экзотические payoff-ы (barrier, cliquet), где аналитическая дельта отсутствует и residual-параметризация требует аппроксимированного BSM-ориентира.</w:t>
      </w:r>
    </w:p>
    <w:p>
      <w:pPr>
        <w:spacing w:before="3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32"/>
        </w:rPr>
        <w:t>9. Список изученной литературы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1. Black F., Scholes M. The Pricing of Options and Corporate Liabilities // Journal of Political Economy. 1973. Vol. 81, № 3. P. 637–654.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2. Merton R. C. Theory of Rational Option Pricing // Bell Journal of Economics and Management Science. 1973. Vol. 4, № 1. P. 141–183.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3. Heston S. L. A Closed-Form Solution for Options with Stochastic Volatility with Applications to Bond and Currency Options // Review of Financial Studies. 1993. Vol. 6, № 2. P. 327–343.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4. Leland H. E. Option Pricing and Replication with Transactions Costs // Journal of Finance. 1985. Vol. 40, № 5. P. 1283–1301.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5. Whalley A. E., Wilmott P. An Asymptotic Analysis of an Optimal Hedging Model for Option Pricing with Transaction Costs // Mathematical Finance. 1997. Vol. 7, № 3. P. 307–324.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6. Davis M. H. A., Panas V. G., Zariphopoulou T. European Option Pricing with Transaction Costs // SIAM Journal on Control and Optimization. 1993. Vol. 31, № 2. P. 470–493.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7. Dupire B. Pricing with a Smile // Risk. 1994. Vol. 7, № 1. P. 18–20.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8. Longstaff F. A., Schwartz E. S. Valuing American Options by Simulation: A Simple Least-Squares Approach // Review of Financial Studies. 2001. Vol. 14, № 1. P. 113–147.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9. Buehler H., Gonon L., Teichmann J., Wood B. Deep Hedging // Quantitative Finance. 2019. Vol. 19, № 8. P. 1271–1291. DOI: 10.1080/14697688.2019.1571683.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10. Buehler H., Phillip M., Wood B. Deep Bellman Hedging. arXiv:2207.00932. 2022.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11. Cao J., Chen J., Hull J., Poulos Z. Deep Hedging of Derivatives Using Reinforcement Learning // Journal of Financial Data Science. 2021. Vol. 3, № 1. P. 10–27. arXiv:2103.16409.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12. Murray P., Wood B., Buehler H., Wiese M., Pakkanen M. Deep Hedging: Continuous Reinforcement Learning for Hedging of General Portfolios across Multiple Risk Aversions // Proc. of the 3rd ACM International Conference on AI in Finance (ICAIF '22). 2022. arXiv:2207.07467.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13. Qiao Y., Wan L. Enhancing Black–Scholes Delta Hedging via Deep Learning. arXiv:2407.19367. 2024.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14. Mueller K., Akkari A., Gonon L., Wood B. Fast Deep Hedging with Second-Order Optimization // Proc. of the 5th ACM International Conference on AI in Finance (ICAIF '24). 2024. DOI: 10.1145/3677052.3698604. arXiv:2410.22568.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15. Enkhbayar T. A New Way: Kronecker-Factored Approximate Curvature Deep Hedging and its Benefits. arXiv:2411.15002. 2024.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16. Martens J., Grosse R. Optimizing Neural Networks with Kronecker-factored Approximate Curvature // Proc. of ICML. 2015. arXiv:1503.05671.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17. Wu Y., Mansimov E., Liao S., Grosse R., Ba J. Scalable Trust-Region Method for Deep Reinforcement Learning using Kronecker-factored Approximation (ACKTR) // Proc. of NeurIPS. 2017. arXiv:1708.05144.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18. Jordan K., Jin Y., Boza V., You J., Cesista F., Newhouse L., Bernstein J. Muon: An Optimizer for the Hidden Layers of Neural Networks. kellerjordan.github.io/posts/muon/. 2024.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19. Kingma D. P., Ba J. Adam: A Method for Stochastic Optimization // Proc. of ICLR. 2015.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20. Loshchilov I., Hutter F. Decoupled Weight Decay Regularization // Proc. of ICLR. 2019.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21. Haarnoja T., Zhou A., Abbeel P., Levine S. Soft Actor-Critic: Off-Policy Maximum Entropy Deep Reinforcement Learning with a Stochastic Actor // Proc. of ICML. 2018. arXiv:1801.01290.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22. Rahimi A., Recht B. Random Features for Large-Scale Kernel Machines // Proc. of NeurIPS. 2007.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23. Tancik M., Srinivasan P. P., Mildenhall B. et al. Fourier Features Let Networks Learn High Frequency Functions in Low Dimensional Domains // Proc. of NeurIPS. 2020. arXiv:2006.10739.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24. Sitzmann V., Martel J. N. P., Bergman A. W., Lindell D. B., Wetzstein G. Implicit Neural Representations with Periodic Activation Functions (SIREN) // Proc. of NeurIPS. 2020. arXiv:2006.09661.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25. Gorishniy Y., Rubachev I., Babenko A. On Embeddings for Numerical Features in Tabular Deep Learning // Proc. of NeurIPS. 2022. arXiv:2203.05556.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26. Silver D., Huang A., Jaderberg M. et al. Residual Policy Learning. arXiv:1812.06298. 2018.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27. Johannink T., Bahl S., Nair A. et al. Residual Reinforcement Learning for Robot Control // Proc. of ICRA. 2019. arXiv:1812.03201.</w:t>
      </w:r>
    </w:p>
    <w:p>
      <w:pPr>
        <w:spacing w:line="360" w:lineRule="auto" w:after="40"/>
        <w:ind w:firstLine="0" w:left="283"/>
      </w:pPr>
      <w:r>
        <w:rPr>
          <w:rFonts w:ascii="Times New Roman" w:hAnsi="Times New Roman" w:cs="Times New Roman" w:eastAsia="Times New Roman"/>
          <w:sz w:val="24"/>
        </w:rPr>
        <w:t>28. Zhang H., Dauphin Y. N., Ma T. Fixup Initialization: Residual Learning Without Normalization // Proc. of ICLR. 2019. arXiv:1901.09321.</w:t>
      </w:r>
    </w:p>
    <w:p>
      <w:pPr>
        <w:spacing w:before="3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32"/>
        </w:rPr>
        <w:t>10. Приложения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Приложение А. Гиперпараметры ablation</w:t>
      </w:r>
    </w:p>
    <w:p>
      <w:pPr>
        <w:pStyle w:val="ListBullet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Heston: S₀ = 100, v₀ = 0.04, r = 0.01, κ = 2.0, θ = 0.04, ξ = 0.1, ρ = −0.7, T = 1 год, N = 30, K = 100, c = 10⁻³.</w:t>
      </w:r>
    </w:p>
    <w:p>
      <w:pPr>
        <w:pStyle w:val="ListBullet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Тренировка: M_train = 3000 путей, n_epochs = 10000, log_every = 200, early_stop_patience = 100, lr = 10⁻³ (кроме Muon: 2 × 10⁻²).</w:t>
      </w:r>
    </w:p>
    <w:p>
      <w:pPr>
        <w:pStyle w:val="ListBullet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Валидация/тест: M_val = M_test = 5000 путей, общий random-seed = 42 для всех методов.</w:t>
      </w:r>
    </w:p>
    <w:p>
      <w:pPr>
        <w:pStyle w:val="ListBullet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Архитектура: скрытые слои (64, 32), LeakyReLU(0.01), PAF с n_freq = 16, σ_init = 1.0.</w:t>
      </w:r>
    </w:p>
    <w:p>
      <w:pPr>
        <w:pStyle w:val="ListBullet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K-FAC: damping = 10⁻¹, ema_decay = 0.95, update_freq = 10, momentum = 0.9, grad_clip = 1.0.</w:t>
      </w:r>
    </w:p>
    <w:p>
      <w:pPr>
        <w:pStyle w:val="ListBullet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Muon: momentum = 0.95, ns_steps = 5, scale = max(1, out/in)^{1/2}.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Приложение Б. Ключевые фрагменты кода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B.1. Newton–Schulz-орто­гонализатор (ядро Muon):</w:t>
      </w:r>
    </w:p>
    <w:p>
      <w:pPr>
        <w:spacing w:line="240" w:lineRule="auto" w:before="80" w:after="80"/>
        <w:ind w:firstLine="0" w:left="283"/>
      </w:pPr>
      <w:r>
        <w:rPr>
          <w:rFonts w:ascii="Consolas" w:hAnsi="Consolas" w:cs="Consolas"/>
          <w:sz w:val="20"/>
        </w:rPr>
        <w:t>def _newton_schulz5(G, steps=5, eps=1e-7):</w:t>
        <w:br/>
        <w:t xml:space="preserve">    a, b, c = 3.4445, -4.7750, 2.0315</w:t>
        <w:br/>
        <w:t xml:space="preserve">    X = G.clone().float() / (G.norm() + eps)</w:t>
        <w:br/>
        <w:t xml:space="preserve">    transposed = X.size(-2) &gt; X.size(-1)</w:t>
        <w:br/>
        <w:t xml:space="preserve">    if transposed: X = X.transpose(-2, -1)</w:t>
        <w:br/>
        <w:t xml:space="preserve">    for _ in range(steps):</w:t>
        <w:br/>
        <w:t xml:space="preserve">        A = X @ X.transpose(-2, -1)</w:t>
        <w:br/>
        <w:t xml:space="preserve">        B = b * A + c * (A @ A)</w:t>
        <w:br/>
        <w:t xml:space="preserve">        X = a * X + B @ X</w:t>
        <w:br/>
        <w:t xml:space="preserve">    if transposed: X = X.transpose(-2, -1)</w:t>
        <w:br/>
        <w:t xml:space="preserve">    return X.to(G.dtype)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Б.2. Шаг K-FAC (предобуславливание Linear-градиентов):</w:t>
      </w:r>
    </w:p>
    <w:p>
      <w:pPr>
        <w:spacing w:line="240" w:lineRule="auto" w:before="80" w:after="80"/>
        <w:ind w:firstLine="0" w:left="283"/>
      </w:pPr>
      <w:r>
        <w:rPr>
          <w:rFonts w:ascii="Consolas" w:hAnsi="Consolas" w:cs="Consolas"/>
          <w:sz w:val="20"/>
        </w:rPr>
        <w:t># для каждого Linear-модуля:</w:t>
        <w:br/>
        <w:t>grad = torch.cat([W.grad, b.grad.unsqueeze(1)], dim=1)</w:t>
        <w:br/>
        <w:t>nat  = G_inv @ grad @ A_inv</w:t>
        <w:br/>
        <w:t>W.grad.copy_(nat[:, :-1]); b.grad.copy_(nat[:, -1])</w:t>
        <w:br/>
        <w:t># глобальный clip + SGD с моментумом:</w:t>
        <w:br/>
        <w:t>torch.nn.utils.clip_grad_norm_(model.parameters(), max_norm=1.0)</w:t>
        <w:br/>
        <w:t>for p in model.parameters():</w:t>
        <w:br/>
        <w:t xml:space="preserve">    buf = mom_buf[id(p)].mul_(0.9).add_(p.grad)</w:t>
        <w:br/>
        <w:t xml:space="preserve">    p.add_(buf, alpha=-lr)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Б.3. Backtest с residual-головой (ядро DeviationTrainer):</w:t>
      </w:r>
    </w:p>
    <w:p>
      <w:pPr>
        <w:spacing w:line="240" w:lineRule="auto" w:before="80" w:after="80"/>
        <w:ind w:firstLine="0" w:left="283"/>
      </w:pPr>
      <w:r>
        <w:rPr>
          <w:rFonts w:ascii="Consolas" w:hAnsi="Consolas" w:cs="Consolas"/>
          <w:sz w:val="20"/>
        </w:rPr>
        <w:t>for t in range(N):</w:t>
        <w:br/>
        <w:t xml:space="preserve">    delta_bsm = bsm_delta(S[:, t], sqrt(v[:, t]), tau_t, K, r)</w:t>
        <w:br/>
        <w:t xml:space="preserve">    features  = [state_t, tau_t, delta_prev]</w:t>
        <w:br/>
        <w:t xml:space="preserve">    if use_pnl: features.append(cash + delta_prev * S[:, t])</w:t>
        <w:br/>
        <w:t xml:space="preserve">    deviation = net(cat(features)).squeeze(1)</w:t>
        <w:br/>
        <w:t xml:space="preserve">    delta     = delta_bsm + deviation</w:t>
        <w:br/>
        <w:t xml:space="preserve">    # self-financing update ...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Приложение В. Репозиторий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Исходный код и ноутбук ablation доступны в Git-репозитории проекта. Основные файлы: src/trainers.py (тренеры и оптимизаторы), src/models.py (архитектура политики), src/samplers.py (HestonSampler), src/deltas.py (не-RL бейзлайны), heston_comparison.ipynb (сводный ablation).</w:t>
      </w:r>
    </w:p>
    <w:p>
      <w:pPr>
        <w:spacing w:before="3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32"/>
        </w:rPr>
        <w:t>Описание применения генеративной модели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процессе подготовки настоящего отчёта и сопровождающего кода использовалась большая языковая модель Anthropic Claude (claude.ai, версия Opus 4.7). Характер применения:</w:t>
      </w:r>
    </w:p>
    <w:p>
      <w:pPr>
        <w:pStyle w:val="ListBullet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поиск и систематизация литературных источников (раздел 4 «Обзор»), проверка точности библиографических ссылок — финальный список проверен автором вручную;</w:t>
      </w:r>
    </w:p>
    <w:p>
      <w:pPr>
        <w:pStyle w:val="ListBullet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реализация вспомогательного кода: классы Muon и KFACOptimizer в src/trainers.py были написаны в диалоговом режиме по исходной спецификации (Martens-Grosse 2015 для K-FAC, Jordan 2024 для Muon); корректность проверена автором через smoke-tests и полный ablation-прогон;</w:t>
      </w:r>
    </w:p>
    <w:p>
      <w:pPr>
        <w:pStyle w:val="ListBullet"/>
        <w:spacing w:line="360" w:lineRule="auto"/>
        <w:ind w:firstLine="0" w:left="567"/>
      </w:pPr>
      <w:r>
        <w:rPr>
          <w:rFonts w:ascii="Times New Roman" w:hAnsi="Times New Roman" w:cs="Times New Roman" w:eastAsia="Times New Roman"/>
          <w:sz w:val="28"/>
        </w:rPr>
        <w:t>стилистическая редактура русскоязычной части отчёта; все утверждения, постановка задачи, выбор методов, численные эксперименты и выводы принадлежат автору.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Научные результаты, формулировка гипотез, выбор ablation-сетапа и интерпретация экспериментов сформулированы автором самостоятельно.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