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  <w:jc w:val="center"/>
      </w:pPr>
      <w:r>
        <w:rPr>
          <w:rFonts w:ascii="Arial" w:hAnsi="Arial"/>
          <w:b/>
          <w:color w:val="1F3764"/>
          <w:sz w:val="36"/>
        </w:rPr>
        <w:t>INFORME EJECUTIVO</w:t>
      </w:r>
    </w:p>
    <w:p>
      <w:pPr>
        <w:spacing w:before="0" w:after="80" w:line="259" w:lineRule="auto"/>
        <w:jc w:val="center"/>
      </w:pPr>
      <w:r>
        <w:rPr>
          <w:rFonts w:ascii="Arial" w:hAnsi="Arial"/>
          <w:b/>
          <w:color w:val="414141"/>
          <w:sz w:val="26"/>
        </w:rPr>
        <w:t>Simulación de lanzamiento de producto y simulación de compra-venta</w:t>
      </w:r>
    </w:p>
    <w:p>
      <w:pPr>
        <w:spacing w:before="0" w:after="200" w:line="259" w:lineRule="auto"/>
        <w:jc w:val="center"/>
      </w:pPr>
      <w:r>
        <w:rPr>
          <w:i/>
          <w:color w:val="5A5A5A"/>
          <w:sz w:val="21"/>
        </w:rPr>
        <w:t>Entrega académica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2F3"/>
            <w:tcBorders>
              <w:top w:val="single" w:sz="10" w:space="0" w:color="D9E2F3"/>
              <w:left w:val="single" w:sz="10" w:space="0" w:color="D9E2F3"/>
              <w:bottom w:val="single" w:sz="10" w:space="0" w:color="D9E2F3"/>
              <w:right w:val="single" w:sz="10" w:space="0" w:color="D9E2F3"/>
            </w:tcBorders>
          </w:tcPr>
          <w:p>
            <w:r/>
          </w:p>
        </w:tc>
      </w:tr>
    </w:tbl>
    <w:p>
      <w:pPr>
        <w:spacing w:before="0" w:after="80" w:line="259" w:lineRule="auto"/>
      </w:pPr>
    </w:p>
    <w:p>
      <w:pPr>
        <w:spacing w:before="80" w:after="80" w:line="259" w:lineRule="auto"/>
      </w:pPr>
      <w:r>
        <w:rPr>
          <w:b/>
          <w:color w:val="1F3764"/>
          <w:sz w:val="25"/>
        </w:rPr>
        <w:t>Resumen ejecutivo</w:t>
      </w:r>
    </w:p>
    <w:p>
      <w:pPr>
        <w:spacing w:before="0" w:after="120" w:line="259" w:lineRule="auto"/>
      </w:pPr>
      <w:r>
        <w:t>El presente informe desarrolla de forma ejecutiva dos simulaciones clave para el análisis comercial: la introducción de un producto ficticio al mercado y un ejercicio de compra-venta con perfiles de consumidor. Ambas actividades se diseñan para evaluar la lógica de decisión del cliente, la construcción de valor, la influencia del precio y la efectividad de la comunicación comercial.</w:t>
      </w:r>
    </w:p>
    <w:p>
      <w:pPr>
        <w:spacing w:before="120" w:after="60" w:line="259" w:lineRule="auto"/>
      </w:pPr>
      <w:r>
        <w:rPr>
          <w:b/>
          <w:color w:val="1F3764"/>
          <w:sz w:val="24"/>
        </w:rPr>
        <w:t>5. Simulación del lanzamiento de un producto ficticio</w:t>
      </w:r>
    </w:p>
    <w:p>
      <w:pPr>
        <w:spacing w:before="0" w:after="100" w:line="259" w:lineRule="auto"/>
      </w:pPr>
      <w:r>
        <w:rPr>
          <w:b/>
        </w:rPr>
        <w:t xml:space="preserve">Producto ficticio: </w:t>
      </w:r>
      <w:r>
        <w:t>AquaPulse</w:t>
      </w:r>
      <w:r>
        <w:t xml:space="preserve">. Bebida hidratante funcional elaborada a base de agua, electrolitos y extractos naturales. </w:t>
      </w:r>
      <w:r>
        <w:t>Se proyecta como una alternativa moderna para estudiantes y jóvenes que buscan hidratación rápida, sabor agradable y una imagen saludable sin caer en un producto pesado o excesivamente dulce.</w:t>
      </w:r>
    </w:p>
    <w:p>
      <w:pPr>
        <w:spacing w:before="0" w:after="100" w:line="259" w:lineRule="auto"/>
      </w:pPr>
      <w:r>
        <w:rPr>
          <w:b/>
        </w:rPr>
        <w:t xml:space="preserve">Propuesta de valor. </w:t>
      </w:r>
      <w:r>
        <w:t>AquaPulse ofrece hidratación práctica para jornadas largas de estudio, actividades deportivas suaves y desplazamientos diarios. Su valor diferencial no está solamente en el sabor, sino en la combinación de disponibilidad, precio accesible y comunicación cercana al estilo de vida juvenil.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sz w:val="21"/>
              </w:rPr>
              <w:t>Elemento</w:t>
            </w:r>
          </w:p>
        </w:tc>
        <w:tc>
          <w:tcPr>
            <w:tcW w:type="dxa" w:w="496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sz w:val="21"/>
              </w:rPr>
              <w:t>Definición ejecutiva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  <w:shd w:fill="F5F7FA"/>
          </w:tcPr>
          <w:p>
            <w:r>
              <w:rPr>
                <w:rFonts w:ascii="Arial" w:hAnsi="Arial"/>
                <w:b/>
                <w:sz w:val="20"/>
              </w:rPr>
              <w:t>Público objetivo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</w:tcPr>
          <w:p>
            <w:r>
              <w:rPr>
                <w:rFonts w:ascii="Arial" w:hAnsi="Arial"/>
                <w:sz w:val="20"/>
              </w:rPr>
              <w:t>Estudiantes de 14 a 25 años, consumidores jóvenes, personas activas y compradores sensibles al precio con interés en productos prácticos, frescos y visualmente atractivos.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  <w:shd w:fill="F5F7FA"/>
          </w:tcPr>
          <w:p>
            <w:r>
              <w:rPr>
                <w:rFonts w:ascii="Arial" w:hAnsi="Arial"/>
                <w:b/>
                <w:sz w:val="20"/>
              </w:rPr>
              <w:t>Precio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</w:tcPr>
          <w:p>
            <w:r>
              <w:rPr>
                <w:rFonts w:ascii="Arial" w:hAnsi="Arial"/>
                <w:sz w:val="20"/>
              </w:rPr>
              <w:t>Precio de introducción de L 28.00 por presentación individual. Esta cifra permite competir con bebidas similares y facilita una prueba inicial sin generar barreras de compra.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  <w:shd w:fill="F5F7FA"/>
          </w:tcPr>
          <w:p>
            <w:r>
              <w:rPr>
                <w:rFonts w:ascii="Arial" w:hAnsi="Arial"/>
                <w:b/>
                <w:sz w:val="20"/>
              </w:rPr>
              <w:t>Canales de distribución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</w:tcPr>
          <w:p>
            <w:r>
              <w:rPr>
                <w:rFonts w:ascii="Arial" w:hAnsi="Arial"/>
                <w:sz w:val="20"/>
              </w:rPr>
              <w:t>Cafeterías escolares, tiendas de barrio, pulperías cercanas a centros educativos, minimercados y ventas por redes sociales con entrega local.</w:t>
            </w:r>
          </w:p>
        </w:tc>
      </w:tr>
      <w:tr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  <w:shd w:fill="F5F7FA"/>
          </w:tcPr>
          <w:p>
            <w:r>
              <w:rPr>
                <w:rFonts w:ascii="Arial" w:hAnsi="Arial"/>
                <w:b/>
                <w:sz w:val="20"/>
              </w:rPr>
              <w:t>Campaña de promoción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</w:tcPr>
          <w:p>
            <w:r>
              <w:rPr>
                <w:rFonts w:ascii="Arial" w:hAnsi="Arial"/>
                <w:sz w:val="20"/>
              </w:rPr>
              <w:t>Mensajes cortos, degustación de lanzamiento, promociones 2x1 en la primera semana, afiches en puntos de venta y contenido digital con lenguaje juvenil.</w:t>
            </w:r>
          </w:p>
        </w:tc>
      </w:tr>
    </w:tbl>
    <w:p>
      <w:pPr>
        <w:spacing w:before="0" w:after="100" w:line="259" w:lineRule="auto"/>
      </w:pPr>
      <w:r>
        <w:rPr>
          <w:b/>
        </w:rPr>
        <w:t xml:space="preserve">Justificación comercial. </w:t>
      </w:r>
      <w:r>
        <w:t>La estrategia se enfoca en un lanzamiento de baja fricción: un precio de entrada moderado, distribución cercana al consumidor y promoción de fácil recordación. El objetivo no es vender por volumen inmediato, sino generar prueba, repetición y posicionamiento.</w:t>
      </w:r>
    </w:p>
    <w:p>
      <w:pPr>
        <w:spacing w:before="0" w:after="160" w:line="259" w:lineRule="auto"/>
      </w:pPr>
      <w:r>
        <w:rPr>
          <w:b/>
        </w:rPr>
        <w:t xml:space="preserve">Resultado esperado. </w:t>
      </w:r>
      <w:r>
        <w:t>Durante las primeras semanas se espera captar atención en entornos escolares y de tránsito, lograr rotación suficiente en puntos de venta cercanos y convertir a los primeros compradores en recomendadores del producto.</w:t>
      </w:r>
    </w:p>
    <w:p>
      <w:pPr>
        <w:spacing w:before="120" w:after="60" w:line="259" w:lineRule="auto"/>
      </w:pPr>
      <w:r>
        <w:rPr>
          <w:b/>
          <w:color w:val="1F3764"/>
          <w:sz w:val="24"/>
        </w:rPr>
        <w:t>7. Simulación de compra-venta</w:t>
      </w:r>
    </w:p>
    <w:p>
      <w:pPr>
        <w:spacing w:before="0" w:after="100" w:line="259" w:lineRule="auto"/>
      </w:pPr>
      <w:r>
        <w:rPr>
          <w:b/>
        </w:rPr>
        <w:t xml:space="preserve">Escenario. </w:t>
      </w:r>
      <w:r>
        <w:t>Se organiza un ejercicio donde un grupo actúa como vendedor y otro como comprador. El vendedor presenta el producto ficticio utilizando argumentos de valor, pruebas sociales y promociones limitadas. Los compradores se distribuyen en tres perfiles: ahorradores, innovadores e indecisos.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sz w:val="21"/>
              </w:rPr>
              <w:t>Perfil</w:t>
            </w:r>
          </w:p>
        </w:tc>
        <w:tc>
          <w:tcPr>
            <w:tcW w:type="dxa" w:w="331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sz w:val="21"/>
              </w:rPr>
              <w:t>Comportamiento esperado</w:t>
            </w:r>
          </w:p>
        </w:tc>
        <w:tc>
          <w:tcPr>
            <w:tcW w:type="dxa" w:w="331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sz w:val="21"/>
              </w:rPr>
              <w:t>Respuesta a la comunicación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  <w:shd w:fill="F5F7FA"/>
          </w:tcPr>
          <w:p>
            <w:r>
              <w:rPr>
                <w:rFonts w:ascii="Arial" w:hAnsi="Arial"/>
                <w:b/>
                <w:sz w:val="20"/>
              </w:rPr>
              <w:t>Ahorradores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</w:tcPr>
          <w:p>
            <w:r>
              <w:rPr>
                <w:rFonts w:ascii="Arial" w:hAnsi="Arial"/>
                <w:sz w:val="20"/>
              </w:rPr>
              <w:t>Comparan precio, cantidad y utilidad real antes de comprar. Priorizan el valor económico por encima de la novedad.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</w:tcPr>
          <w:p>
            <w:r>
              <w:rPr>
                <w:rFonts w:ascii="Arial" w:hAnsi="Arial"/>
                <w:sz w:val="20"/>
              </w:rPr>
              <w:t>Responden mejor a descuentos, paquetes promocionales, garantías simples y mensajes que demuestren ahorro tangible.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  <w:shd w:fill="F5F7FA"/>
          </w:tcPr>
          <w:p>
            <w:r>
              <w:rPr>
                <w:rFonts w:ascii="Arial" w:hAnsi="Arial"/>
                <w:b/>
                <w:sz w:val="20"/>
              </w:rPr>
              <w:t>Innovadores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</w:tcPr>
          <w:p>
            <w:r>
              <w:rPr>
                <w:rFonts w:ascii="Arial" w:hAnsi="Arial"/>
                <w:sz w:val="20"/>
              </w:rPr>
              <w:t>Buscan probar primero y valoran diseño, novedad e identidad de marca.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</w:tcPr>
          <w:p>
            <w:r>
              <w:rPr>
                <w:rFonts w:ascii="Arial" w:hAnsi="Arial"/>
                <w:sz w:val="20"/>
              </w:rPr>
              <w:t>Les atraen lanzamientos, empaques modernos, recomendaciones en redes y demostraciones del producto.</w:t>
            </w:r>
          </w:p>
        </w:tc>
      </w:tr>
      <w:tr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  <w:shd w:fill="F5F7FA"/>
          </w:tcPr>
          <w:p>
            <w:r>
              <w:rPr>
                <w:rFonts w:ascii="Arial" w:hAnsi="Arial"/>
                <w:b/>
                <w:sz w:val="20"/>
              </w:rPr>
              <w:t>Indecisos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</w:tcPr>
          <w:p>
            <w:r>
              <w:rPr>
                <w:rFonts w:ascii="Arial" w:hAnsi="Arial"/>
                <w:sz w:val="20"/>
              </w:rPr>
              <w:t>Tienen interés, pero necesitan confianza para tomar la decisión final.</w:t>
            </w:r>
          </w:p>
        </w:tc>
        <w:tc>
          <w:tcPr>
            <w:tcW w:type="dxa" w:w="33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7C0CC"/>
              <w:left w:val="single" w:sz="8" w:space="0" w:color="B7C0CC"/>
              <w:bottom w:val="single" w:sz="8" w:space="0" w:color="B7C0CC"/>
              <w:right w:val="single" w:sz="8" w:space="0" w:color="B7C0CC"/>
            </w:tcBorders>
          </w:tcPr>
          <w:p>
            <w:r>
              <w:rPr>
                <w:rFonts w:ascii="Arial" w:hAnsi="Arial"/>
                <w:sz w:val="20"/>
              </w:rPr>
              <w:t>La prueba gratuita, la recomendación de terceros y la claridad del mensaje reducen su duda y facilitan la compra.</w:t>
            </w:r>
          </w:p>
        </w:tc>
      </w:tr>
    </w:tbl>
    <w:p>
      <w:pPr>
        <w:spacing w:before="0" w:after="100" w:line="259" w:lineRule="auto"/>
      </w:pPr>
      <w:r>
        <w:rPr>
          <w:b/>
        </w:rPr>
        <w:t xml:space="preserve">Desarrollo de la simulación. </w:t>
      </w:r>
      <w:r>
        <w:t>El vendedor inicia con una presentación breve del producto, explica beneficios concretos y refuerza la idea de oportunidad limitada. Posteriormente, aplica estrategias de comunicación diferenciadas. A los ahorradores se les ofrece precio y rendimiento; a los innovadores, novedad y experiencia; y a los indecisos, seguridad y evidencia social.</w:t>
      </w:r>
    </w:p>
    <w:p>
      <w:pPr>
        <w:spacing w:before="0" w:after="100" w:line="259" w:lineRule="auto"/>
      </w:pPr>
      <w:r>
        <w:rPr>
          <w:b/>
        </w:rPr>
        <w:t xml:space="preserve">Análisis de la decisión final. </w:t>
      </w:r>
      <w:r>
        <w:t>La comunicación influye de forma directa en la decisión cuando traduce atributos en beneficios comprensibles. No todos compran por la misma razón: algunos responden al precio, otros a la imagen del producto y otros a la confianza. Por eso, el cierre de venta depende de adaptar el discurso al perfil del comprador y no de repetir un solo mensaje para todos.</w:t>
      </w:r>
    </w:p>
    <w:p>
      <w:pPr>
        <w:spacing w:before="0" w:after="160" w:line="259" w:lineRule="auto"/>
      </w:pPr>
      <w:r>
        <w:rPr>
          <w:b/>
        </w:rPr>
        <w:t xml:space="preserve">Conclusión operativa. </w:t>
      </w:r>
      <w:r>
        <w:t>En la dinámica comercial, el vendedor que comunica con claridad, escucha objeciones y ajusta su propuesta aumenta sus probabilidades de cerrar ventas. El ejercicio demuestra que una misma oferta puede producir resultados distintos según el perfil psicológico y económico del consumidor.</w:t>
      </w:r>
    </w:p>
    <w:p>
      <w:pPr>
        <w:spacing w:before="120" w:after="60" w:line="259" w:lineRule="auto"/>
      </w:pPr>
      <w:r>
        <w:rPr>
          <w:b/>
          <w:color w:val="1F3764"/>
          <w:sz w:val="24"/>
        </w:rPr>
        <w:t>Conclusión general</w:t>
      </w:r>
    </w:p>
    <w:p>
      <w:pPr>
        <w:spacing w:before="0" w:after="120" w:line="259" w:lineRule="auto"/>
      </w:pPr>
      <w:r>
        <w:t>Las simulaciones muestran que la decisión de compra no depende únicamente del producto, sino de la manera en que se presenta, del precio percibido y de la confianza generada durante la interacción comercial. Un lanzamiento bien estructurado y una venta adaptada al perfil del cliente permiten convertir una idea en una experiencia de mercado más realista y eficaz.</w:t>
      </w:r>
    </w:p>
    <w:p>
      <w:pPr>
        <w:spacing w:before="160" w:after="0" w:line="259" w:lineRule="auto"/>
        <w:jc w:val="center"/>
      </w:pPr>
      <w:r>
        <w:rPr>
          <w:i/>
          <w:color w:val="6E6E6E"/>
          <w:sz w:val="18"/>
        </w:rPr>
        <w:t>Documento de apoyo académico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