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0a19b5d62c3b5aaafdf367e539040fd561288b"/>
    <w:p>
      <w:pPr>
        <w:pStyle w:val="Heading1"/>
      </w:pPr>
      <w:r>
        <w:t xml:space="preserve">BPA Trust Fund Accountant: Hiring Manager Q&amp;A</w:t>
      </w:r>
    </w:p>
    <w:bookmarkStart w:id="20" w:name="tell-me-about-yourself."/>
    <w:p>
      <w:pPr>
        <w:pStyle w:val="Heading2"/>
      </w:pPr>
      <w:r>
        <w:t>1. Tell me about yourself.</w:t>
      </w:r>
    </w:p>
    <w:p>
      <w:pPr>
        <w:pStyle w:val="FirstParagraph"/>
      </w:pPr>
      <w:r>
        <w:t>finance and accounting are in my blood from at least 3 generations. Growing up around it, I’ve had about 25 years of exposure to the industry—it was part of my life long before it became my profession. That led me to a B.Com in accounting and auditing, followed by over five years of professional experience across fund and corporate accounting. At SGGG, I owned full-cycle accounting for seven funds, all structured as trusts. Day to day, that meant monitoring cash, preparing bank transfers, posting journal entries and completing bank reconciliations. I handled subscriptions, redemptions and distributions according to each fund’s documents, prepared financial statements, and built the income allocation schedules supporting their year-end T3 filings. At year-end, I led all seven fund audits while monthly close continued, preparing working papers and audit packages containing 10 or more reports per fund. All seven audits finished on time. But I also learned that matching numbers doesn’t always mean they’re right. When one fund’s NAVPU dropped approximately 25% overnight, both the broker’s and custodian’s records agreed. I traced it back to the trade confirmations and found the position error in nine minutes, before it affected unitholders. Before SGGG, at CIBC, I developed that same investigative discipline, clearing over $500,000 in cash breaks and 29,800 share breaks in seven business days, earning the Moment Makers Award. Today, at SMS Motors, I manage full-cycle accounting and month-end for multiple entities. BPA feels like a natural next step: bringing that trust accounting experience, investigative mindset and client care to money that members and their families depend on.</w:t>
      </w:r>
    </w:p>
    <w:p>
      <w:pPr>
        <w:pStyle w:val="BodyText"/>
      </w:pPr>
      <w:r>
        <w:t>Coaching notes: Start with the exact family sentence. About 25 years means exposure through your family; over five years means professional experience. Tell a connected story: family exposure, education, SGGG trust accounting, CIBC controls, current SMS work, then BPA. All seven SGGG funds were trusts. Keep the detailed task list available for follow-ups.</w:t>
      </w:r>
    </w:p>
    <w:bookmarkEnd w:id="20"/>
    <w:bookmarkStart w:id="21" w:name="X7e5d424db22d6168f884fcd262edce0d890311e"/>
    <w:p>
      <w:pPr>
        <w:pStyle w:val="Heading2"/>
      </w:pPr>
      <w:r>
        <w:t>2. Your headline says Trust Fund Accountant. Tell me about that.</w:t>
      </w:r>
    </w:p>
    <w:p>
      <w:pPr>
        <w:pStyle w:val="FirstParagraph"/>
      </w:pPr>
      <w:r>
        <w:t>That's the work I did. At SGGG I kept the books for seven funds, all structured as trusts: cash and bank transfers, bank reconciliations, NAVPU, subscriptions, redemptions and distributions in line with the fund documents, income allocations to unitholders, and the year-end audits. BPA's trusts have different money flows, contributions in and claims and premiums out, but the fiduciary discipline is familiar: follow the governing document, safeguard the money, and account for it clearly. At BPA, I would connect contribution receipts to the accounting ledger and the administration team's member records.</w:t>
      </w:r>
    </w:p>
    <w:p>
      <w:pPr>
        <w:pStyle w:val="BodyText"/>
      </w:pPr>
      <w:r>
        <w:t>Coaching notes: describe the work and don't argue about the title. Confidence plus specifics is what makes it believable.</w:t>
      </w:r>
    </w:p>
    <w:bookmarkEnd w:id="21"/>
    <w:bookmarkStart w:id="22" w:name="but-your-title-was-fund-accountant."/>
    <w:p>
      <w:pPr>
        <w:pStyle w:val="Heading2"/>
      </w:pPr>
      <w:r>
        <w:t>3. But your title was Fund Accountant.</w:t>
      </w:r>
    </w:p>
    <w:p>
      <w:pPr>
        <w:pStyle w:val="FirstParagraph"/>
      </w:pPr>
      <w:r>
        <w:t>Right. My formal title was Fund Accountant. All seven funds I handled were structured as trusts, so the work included trust accounting. My headline describes that work.</w:t>
      </w:r>
    </w:p>
    <w:p>
      <w:pPr>
        <w:pStyle w:val="BodyText"/>
      </w:pPr>
      <w:r>
        <w:t>Coaching notes: Agree with the formal title once, explain the legal structure and actual work, then stop. Don't argue about titles.</w:t>
      </w:r>
    </w:p>
    <w:bookmarkEnd w:id="22"/>
    <w:bookmarkStart w:id="23" w:name="how-many-of-the-seven-were-trusts"/>
    <w:p>
      <w:pPr>
        <w:pStyle w:val="Heading2"/>
      </w:pPr>
      <w:r>
        <w:t>4. How many of the seven were trusts?</w:t>
      </w:r>
    </w:p>
    <w:p>
      <w:pPr>
        <w:pStyle w:val="FirstParagraph"/>
      </w:pPr>
      <w:r>
        <w:t>All seven funds I handled were structured as trusts.</w:t>
      </w:r>
    </w:p>
    <w:p>
      <w:pPr>
        <w:pStyle w:val="BodyText"/>
      </w:pPr>
      <w:r>
        <w:t>Coaching notes: Confirmed by you: all seven were trusts. Remove the old [X]/[Y] split and limited-partnership experience claims throughout. There is no need to invent a split or defend a category you did not handle.</w:t>
      </w:r>
    </w:p>
    <w:bookmarkEnd w:id="23"/>
    <w:bookmarkStart w:id="24" w:name="X7ac2db0c0a57b7afbd53f620685c0bfb65f2674"/>
    <w:p>
      <w:pPr>
        <w:pStyle w:val="Heading2"/>
      </w:pPr>
      <w:r>
        <w:t>5. What makes trust accounting different from corporate accounting?</w:t>
      </w:r>
    </w:p>
    <w:p>
      <w:pPr>
        <w:pStyle w:val="FirstParagraph"/>
      </w:pPr>
      <w:r>
        <w:t>Three things. First, the trust document governs, so every transaction is checked against it. Second, you owe a fiduciary duty to the beneficiaries, so each trust's money is segregated and never mixed with another trust's. Third, the year-end income allocation and tax reporting need particular care: income allocated or made payable to beneficiaries can affect the trust's tax treatment. That's why the allocation schedules matter so much.</w:t>
      </w:r>
    </w:p>
    <w:p>
      <w:pPr>
        <w:pStyle w:val="BodyText"/>
      </w:pPr>
      <w:r>
        <w:t>Coaching notes: shows trust knowledge without making any claim about BPA-specific work you haven't done. Tax wording tightened: do not claim that every trust automatically owes no tax. The applicable trust type and tax rules matter. The trust's assets are separate from BPA's corporate assets. Describe BPA as a third-party administrator rather than assuming it chooses investments or underwrites insurance.</w:t>
      </w:r>
    </w:p>
    <w:bookmarkEnd w:id="24"/>
    <w:bookmarkStart w:id="25" w:name="Xac32975a6b6ddabdf5956950298ffc5a44d3f50"/>
    <w:p>
      <w:pPr>
        <w:pStyle w:val="Heading2"/>
      </w:pPr>
      <w:r>
        <w:t>6. Walk me through the trust declaration on one of your funds.</w:t>
      </w:r>
    </w:p>
    <w:p>
      <w:pPr>
        <w:pStyle w:val="FirstParagraph"/>
      </w:pPr>
      <w:r>
        <w:t>I worked from the fund documents every day: how often the fund distributed, how income was allocated to unitholders, how fees were calculated, and what transactions were permitted. When something didn't fit, I flagged it to management before processing.</w:t>
      </w:r>
    </w:p>
    <w:p>
      <w:pPr>
        <w:pStyle w:val="BodyText"/>
      </w:pPr>
      <w:r>
        <w:t>Coaching notes: describe how you used the document, not its clause wording. Don't quote clauses you can't recall. For BPA follow-ups, connect the governing documents to contribution rules, permitted expenses and authorized investment payment instructions, while keeping your direct example at SGGG.</w:t>
      </w:r>
    </w:p>
    <w:bookmarkEnd w:id="25"/>
    <w:bookmarkStart w:id="26" w:name="Xb1dbf118a1434e62408b9603e5b0c23488b013e"/>
    <w:p>
      <w:pPr>
        <w:pStyle w:val="Heading2"/>
      </w:pPr>
      <w:r>
        <w:t>7. What trust laws and fiduciary rules are you familiar with?</w:t>
      </w:r>
    </w:p>
    <w:p>
      <w:pPr>
        <w:pStyle w:val="FirstParagraph"/>
      </w:pPr>
      <w:r>
        <w:t>At a working level: the fiduciary duties of loyalty, prudence and accounting to beneficiaries; following the trust document; the prudent-investor standard in Ontario's Trustee Act; and CRA trust reporting, meaning the T3 and the expanded beneficial ownership reporting. My IFC course with the Canadian Securities Institute covered how Canadian fund trusts are structured and regulated. For plan-specific and pension rules, I'd follow BPA's guidance.</w:t>
      </w:r>
    </w:p>
    <w:p>
      <w:pPr>
        <w:pStyle w:val="BodyText"/>
      </w:pPr>
      <w:r>
        <w:t>Coaching notes: "working level" is honest and still strong. The IFC is formal proof that's on your resume.</w:t>
      </w:r>
    </w:p>
    <w:bookmarkEnd w:id="26"/>
    <w:bookmarkStart w:id="27" w:name="X0187d3dd6491bf9f7a3bb22a4551d7eef6c860b"/>
    <w:p>
      <w:pPr>
        <w:pStyle w:val="Heading2"/>
      </w:pPr>
      <w:r>
        <w:t>8. How did income allocation work on your funds?</w:t>
      </w:r>
    </w:p>
    <w:p>
      <w:pPr>
        <w:pStyle w:val="FirstParagraph"/>
      </w:pPr>
      <w:r>
        <w:t>At year-end, each fund's income allocation work separated the relevant amounts by type: interest, dividends, capital gains and return of capital. I prepared the allocation schedules for unitholders, tied them to the distributions actually paid, and supported the T3 filings for the seven trusts. The schedules made it possible to trace the allocations back to the fund's records.</w:t>
      </w:r>
    </w:p>
    <w:p>
      <w:pPr>
        <w:pStyle w:val="BodyText"/>
      </w:pPr>
      <w:r>
        <w:t>Coaching notes: Say 'prepared schedules supporting T3 filings,' not 'filed' or 'signed.' All seven were trusts; remove T5013 and partnership filing claims from your personal experience. Return of capital is a separate distribution category, not a type of taxable income. Avoid saying a fund automatically owes no tax because it distributes income. These SGGG income allocation schedules are different from allocating employer contribution receipts to members and benefit categories.</w:t>
      </w:r>
    </w:p>
    <w:bookmarkEnd w:id="27"/>
    <w:bookmarkStart w:id="28" w:name="X91e04729b9656efd0434f86ab487586567e588d"/>
    <w:p>
      <w:pPr>
        <w:pStyle w:val="Heading2"/>
      </w:pPr>
      <w:r>
        <w:t>9. An employer's monthly contribution is short of what their remittance report says. What do you do?</w:t>
      </w:r>
    </w:p>
    <w:p>
      <w:pPr>
        <w:pStyle w:val="FirstParagraph"/>
      </w:pPr>
      <w:r>
        <w:t>It's a break, and resolving breaks is what I've done for five years. First, I match the deposit to the employer's remittance report member by member: hours, rates and totals. I would also tie the receipt to the Sage posting and administration's allocation record. Second, I decide whether it's a timing difference, a rate or hours error, a missing allocation, or a true shortfall. Third, I document it and raise it with the senior accountant under the trust's delinquency process. Fourth, I follow up until it's paid, because a member's eligibility can depend on those hours. At CIBC I cleared over $500,000 in cash breaks and 29,800 share breaks in seven business days the same way: match both sides in Excel, sort into matched, timing or real error, fix the root cause, and track every item to closure. That's what won the Moment Makers Award.</w:t>
      </w:r>
    </w:p>
    <w:p>
      <w:pPr>
        <w:pStyle w:val="BodyText"/>
      </w:pPr>
      <w:r>
        <w:t>Coaching notes: you walk through how you'd do it and never say you've done employer contribution recs. No false claim, so there's nothing to catch. If the cash is already in the bank but not fully allocated by administration, resolve the allocation break; do not assume the employer owes the same amount again. Check trust, employer, member, remittance period and applicable tax components. Unidentified receipts follow the approved unapplied-receipt process until resolved.</w:t>
      </w:r>
    </w:p>
    <w:bookmarkEnd w:id="28"/>
    <w:bookmarkStart w:id="29" w:name="Xe4f70089d9e138b28895d2f995e1987eade3fb1"/>
    <w:p>
      <w:pPr>
        <w:pStyle w:val="Heading2"/>
      </w:pPr>
      <w:r>
        <w:t>10. Walk me through a bank rec and a balance sheet rec. What about an item that's 90 days old?</w:t>
      </w:r>
    </w:p>
    <w:p>
      <w:pPr>
        <w:pStyle w:val="FirstParagraph"/>
      </w:pPr>
      <w:r>
        <w:t>For the bank, I put the statement against GL cash in an Excel template and list the reconciling items: outstanding payments, deposits in transit, fees, interest and errors. Then I post what belongs in the books. For balance sheet accounts, I tie each one to its schedule. On my SGGG funds that meant investments, income receivable, distributions payable and accrued expenses. At SMS it's AP and AR schedules and accruals. A 90-day item gets traced to the source document, written up, and I propose a correcting entry for review. I never plug it and never roll it forward quietly. Those reviews are how I recovered over $15,000 at SMS within seven days. In a trust, a stale item is beneficiaries' money. At BPA I would also reconcile the ledger to administration's contribution records, because a balanced bank reconciliation does not prove the member allocations are correct.</w:t>
      </w:r>
    </w:p>
    <w:p>
      <w:pPr>
        <w:pStyle w:val="BodyText"/>
      </w:pPr>
      <w:r>
        <w:t>Coaching notes: SGGG first to support the trust title, SMS as current proof. Leaves out SMS "position recs" so it doesn't invite that follow-up. An outstanding cheque is recorded but not yet cleared. A deposit in transit is recorded and submitted but not yet on the bank statement. A cheque not yet deposited needs the approved undeposited-funds and custody process; do not automatically call it a bank delay. Unrecorded bank fees and interest require supported book entries. Training example: bank $500,000 plus $25,000 deposits in transit less $40,000 outstanding cheques equals $485,000; ledger $485,500 less an unrecorded $500 bank fee also equals $485,000.</w:t>
      </w:r>
    </w:p>
    <w:bookmarkEnd w:id="29"/>
    <w:bookmarkStart w:id="30" w:name="Xfe7e6a7f517cfc275a4395be393412bdb43ff08"/>
    <w:p>
      <w:pPr>
        <w:pStyle w:val="Heading2"/>
      </w:pPr>
      <w:r>
        <w:t>11. What government remittances and trust tax work have you done?</w:t>
      </w:r>
    </w:p>
    <w:p>
      <w:pPr>
        <w:pStyle w:val="FirstParagraph"/>
      </w:pPr>
      <w:r>
        <w:t>On the trust side, at SGGG I prepared the income allocation schedules supporting the year-end T3 filings for all seven trusts. At SMS Motors I handle the regular remittance cycle: HST and payroll source deductions, each reconciled in Excel to its source and tracked on a filing calendar so nothing depends on memory. On the benefit-trust side, I understand that trust reporting, T4A reporting on certain benefit payments, and Ontario's 8% retail sales tax on applicable group insurance premiums can be relevant. I'd learn exactly which requirements apply to each BPA trust and how BPA handles them.</w:t>
      </w:r>
    </w:p>
    <w:p>
      <w:pPr>
        <w:pStyle w:val="BodyText"/>
      </w:pPr>
      <w:r>
        <w:t>Coaching notes: Separate work you have done from benefit-trust knowledge. T3 support at SGGG is confirmed. Do not claim T5013 work for these seven funds. EHT was omitted in the source; add it only if applicable to your actual SMS work. Treat benefit-trust tax requirements as trust-specific, not universal. Ontario RST can also apply to specified benefit-plan contributions; it is not a universal charge on every trust receipt. The employee shorthand RST/QST needs jurisdiction-specific clarification. As of October 21, 2026, Quebec insurance-premiums tax is 9%, with 9.975% applying to premiums paid after December 31, 2026. It is a separate tax from ordinary QST. Confirm the trust-specific taxable base, payable, filing period and remittance process.</w:t>
      </w:r>
    </w:p>
    <w:bookmarkEnd w:id="30"/>
    <w:bookmarkStart w:id="31" w:name="X55e88d2c2b91cffd516bcfa327bcca234384171"/>
    <w:p>
      <w:pPr>
        <w:pStyle w:val="Heading2"/>
      </w:pPr>
      <w:r>
        <w:t>12. How do you monitor cash flow, decide on transfers, and report to trustees?</w:t>
      </w:r>
    </w:p>
    <w:p>
      <w:pPr>
        <w:pStyle w:val="FirstParagraph"/>
      </w:pPr>
      <w:r>
        <w:t>At SGGG I monitored cash daily for seven funds. Each morning I built an Excel forecast per fund: opening balance, plus expected subscriptions and income, minus redemptions, distributions and fees. I flagged any fund running short, prepared the bank transfers for approval, and released them before cut-off. I also calculated the management, performance and asset-based fees and the income and expense allocations. Monthly I produced investment and cash flow reports for the fund managers covering holdings, income and NAVPU, written so a non-accountant could see what came in, what went out, and why. Clients valued the continuity and care I brought to their funds and specifically requested to keep working with me. At BPA the flows change to contributions and investment distributions in, and claims, premiums, expenses, remittances, capital calls and, where applicable, pension payments out, but trustees still need that same clear picture.</w:t>
      </w:r>
    </w:p>
    <w:p>
      <w:pPr>
        <w:pStyle w:val="BodyText"/>
      </w:pPr>
      <w:r>
        <w:t>Coaching notes: your strongest direct match to the job description, and every line is on your resume. "Prepared for approval" avoids claiming a specific SGGG approval control. Client relationship note: focus on clients requesting your continued support. Leave out the MUFG portfolio move, competing offer and immigration decision; do not suggest you took clients with you. Separate committed payments from estimates and uncertain receipts. Follow authorized investment-manager instructions and the trust approval process; do not imply investment-selection authority or sole payment-release authority. The employee mentioned daily/monthly investment and performance reports for some funds, quarterly private-equity information and quarterly financial statements. Confirm the cadence for the actual portfolio. Contributions and capital returned are not automatically investment performance.</w:t>
      </w:r>
    </w:p>
    <w:bookmarkEnd w:id="31"/>
    <w:bookmarkStart w:id="32" w:name="X2427e876f3a1808e279b29b6fbf7ae64d8ca1ca"/>
    <w:p>
      <w:pPr>
        <w:pStyle w:val="Heading2"/>
      </w:pPr>
      <w:r>
        <w:t>13. Rate your Excel. How would you reconcile two lists of 2,000 lines?</w:t>
      </w:r>
    </w:p>
    <w:p>
      <w:pPr>
        <w:pStyle w:val="FirstParagraph"/>
      </w:pPr>
      <w:r>
        <w:t>Advanced. I'm comfortable with VBA, lookups and pivot tables. I'd build a candidate key, such as account plus date plus amount, check for duplicates, and aggregate or investigate repeated keys before running XLOOKUP both ways to find what's missing on each side. I'd add a difference column, highlight anything that isn't zero with conditional formatting, and pivot the exceptions by cause. At SMS I built a VBA, V-Lookup and pivot tool that audits fee allocations and transaction logs, and it found $24,500 in tax and write-off savings. At CIBC, automating reconciliation checks and fixing root causes saved $598,770.</w:t>
      </w:r>
    </w:p>
    <w:p>
      <w:pPr>
        <w:pStyle w:val="BodyText"/>
      </w:pPr>
      <w:r>
        <w:t>Coaching notes: "advanced," never "expert." Be ready to do it live. For BPA contribution records, trust, employer, remittance period and member/reference may be more useful key components than amount alone.</w:t>
      </w:r>
    </w:p>
    <w:bookmarkEnd w:id="32"/>
    <w:bookmarkStart w:id="33" w:name="Xcf952477a6d6c6a70e4385a697c870a5610d695"/>
    <w:p>
      <w:pPr>
        <w:pStyle w:val="Heading2"/>
      </w:pPr>
      <w:r>
        <w:t>14. You'd support our Senior Trust Fund Accountant. Tell me about working under a senior colleague, and a time you disagreed.</w:t>
      </w:r>
    </w:p>
    <w:p>
      <w:pPr>
        <w:pStyle w:val="FirstParagraph"/>
      </w:pPr>
      <w:r>
        <w:t>At SGGG, when a transaction didn't fit the fund documents, the decision belonged to management. I brought it to them early, with the document reference and the numbers, and let them make the call. At CIBC I built Excel VBA reconciliation tools the team would rely on, so I tested each one with the team before rollout and reworked parts based on their feedback. When I disagreed, I made my case once with data, then built it the way the process owner decided. The tools were adopted, and my manager's Moment Makers card says, ‘You showed us the meaning of team.' With your Senior Trust Fund Accountant, I'd do the same: bring the facts, give my view respectfully, and back the decision fully.</w:t>
      </w:r>
    </w:p>
    <w:p>
      <w:pPr>
        <w:pStyle w:val="BodyText"/>
      </w:pPr>
      <w:r>
        <w:t>Coaching notes: you come across as coachable but willing to speak up, which is what the senior is listening for. Uses only resume and brag-folder facts. For BPA exceptions, bring the source document, an exception schedule and a proposed treatment for review. Sage is reported by the employee; these notes do not establish that you have already used it.</w:t>
      </w:r>
    </w:p>
    <w:bookmarkEnd w:id="33"/>
    <w:bookmarkStart w:id="34" w:name="X4b5b256153cc13e3359e8f3cc8f84bd426d294e"/>
    <w:p>
      <w:pPr>
        <w:pStyle w:val="Heading2"/>
      </w:pPr>
      <w:r>
        <w:t>15. Tell me about a mistake you made, or one you caught.</w:t>
      </w:r>
    </w:p>
    <w:p>
      <w:pPr>
        <w:pStyle w:val="FirstParagraph"/>
      </w:pPr>
      <w:r>
        <w:t>At SGGG, I once logged off without sending the final client reports. The client contacted my manager, and I took accountability for missing the delivery. I added reminders and Outlook rules to automate sending, together with an automation that prompted for the required files before an email went out. If I was genuinely running late, I had to set an estimated time for the email to be in Sent Items. I also created a separate client email template to communicate a revised NAV delivery time, for example a ten-minute delay. It taught me that producing the report isn't the end of the task; I need to confirm delivery and communicate delays. One error I caught was also at SGGG: a client's fund showed its NAVPU down about 25% overnight, yet everything reconciled because the broker and custodian had both logged the same position incorrectly. I went back to the trade confirmations, compared them with our positions and pricing, and used the divide-by-nine check for transposed figures. I found it in nine minutes and had it corrected before it affected unitholders. A reconciliation that ties isn't automatically right.</w:t>
      </w:r>
    </w:p>
    <w:p>
      <w:pPr>
        <w:pStyle w:val="BodyText"/>
      </w:pPr>
      <w:r>
        <w:t>Coaching notes: Lead with your own mistake and take accountability without minimizing it. Explain the actual controls: reminders, Outlook rules, required-file prompt, a Sent Items delivery target, and a client delay template. Do not claim the automation independently verified delivery or that the mistake never recurred; neither was established. Use the NAVPU catch if asked for an error you found, or as a follow-up rather than a substitute for your own mistake.</w:t>
      </w:r>
    </w:p>
    <w:bookmarkEnd w:id="34"/>
    <w:bookmarkStart w:id="35" w:name="X9ccbb0a4a67dcd64ba16967b621d862a30cc71f"/>
    <w:p>
      <w:pPr>
        <w:pStyle w:val="Heading2"/>
      </w:pPr>
      <w:r>
        <w:t>16. A trustee or client pushes you to do something fast that isn't how it's supposed to be done.</w:t>
      </w:r>
    </w:p>
    <w:p>
      <w:pPr>
        <w:pStyle w:val="FirstParagraph"/>
      </w:pPr>
      <w:r>
        <w:t>I stay warm and quick, but I don't skip the rules, because the rules protect their money. At CIBC, some requests came in marked urgent but were incomplete or didn't match the account. I explained exactly what was missing, flagged it to the right team the same day, and never skipped verification, even under pressure. At SGGG, every transaction had to fit the fund documents before I processed it. At BPA I'd help a trustee right away, follow the trust agreement exactly, and bring in the senior accountant on any judgment call.</w:t>
      </w:r>
    </w:p>
    <w:p>
      <w:pPr>
        <w:pStyle w:val="BodyText"/>
      </w:pPr>
      <w:r>
        <w:t>Coaching notes: being client-centric and accountable together is the right answer. Every example is on your resume. For a payment request, check the correct trust, supporting invoice or call notice, payee and bank details, cash, authorization and required review/release controls. Retain payment confirmation and reconcile clearing. Do not assume an approval threshold or authority BPA has not explained.</w:t>
      </w:r>
    </w:p>
    <w:bookmarkEnd w:id="35"/>
    <w:bookmarkStart w:id="36" w:name="X7cb363db9005f468233787537901aeccf860f98"/>
    <w:p>
      <w:pPr>
        <w:pStyle w:val="Heading2"/>
      </w:pPr>
      <w:r>
        <w:t>17. How do you handle month-end for several clients while an audit is running?</w:t>
      </w:r>
    </w:p>
    <w:p>
      <w:pPr>
        <w:pStyle w:val="FirstParagraph"/>
      </w:pPr>
      <w:r>
        <w:t>At SGGG, year-end meant seven funds in audit at the same time while monthly close kept running. I led those audits, preparing working papers and audit packages of 10 or more reports per fund, plus the income allocation schedules. I ran a tracker by fund and schedule showing owner, due date and status, prioritized by deadline and risk, and prepared the recs and analytical reviews up front so auditors got complete packages. I answered auditor questions the same day and flagged anything at risk early. All seven closed on time, and I still close multiple entities on time every month at SMS.</w:t>
      </w:r>
    </w:p>
    <w:p>
      <w:pPr>
        <w:pStyle w:val="BodyText"/>
      </w:pPr>
      <w:r>
        <w:t>Coaching notes: each BPA trust is its own set of books, so seven funds at once is the exact match. Monthly reconciliations support quarterly financial statements; quarterly reporting does not mean waiting until quarter-end to reconcile. Support cash, investments, receivables, payables, accruals and cut-off. A balanced trial balance alone does not establish correct accounting.</w:t>
      </w:r>
    </w:p>
    <w:bookmarkEnd w:id="36"/>
    <w:bookmarkStart w:id="37" w:name="X45c271981b59b7289a7d5290a73a33bb8e3b434"/>
    <w:p>
      <w:pPr>
        <w:pStyle w:val="Heading2"/>
      </w:pPr>
      <w:r>
        <w:t>18. Give me an example of explaining something complex in writing.</w:t>
      </w:r>
    </w:p>
    <w:p>
      <w:pPr>
        <w:pStyle w:val="FirstParagraph"/>
      </w:pPr>
      <w:r>
        <w:t>At SGGG I wrote monthly investment and cash flow reports for fund managers and answered client and manager inquiries on balances and reports. I lead every report or email with the answer in one line, then the two or three numbers behind it, then the next step. For the NAVPU error, I wrote a short summary covering what happened, the impact on unitholders, the fix and the control we added, and had my manager review it before it went out. For trustees I'd write the same way: answer first, numbers second, next steps last.</w:t>
      </w:r>
    </w:p>
    <w:p>
      <w:pPr>
        <w:pStyle w:val="BodyText"/>
      </w:pPr>
      <w:r>
        <w:t>Coaching notes: covers the job description line "ability to write reports and business correspondence." For a contribution exception or projected cash shortfall, state the amount, cause or current status, member/payment impact, owner and next action.</w:t>
      </w:r>
    </w:p>
    <w:bookmarkEnd w:id="37"/>
    <w:bookmarkStart w:id="38" w:name="whats-your-greatest-strength"/>
    <w:p>
      <w:pPr>
        <w:pStyle w:val="Heading2"/>
      </w:pPr>
      <w:r>
        <w:t>19. What's your greatest strength?</w:t>
      </w:r>
    </w:p>
    <w:p>
      <w:pPr>
        <w:pStyle w:val="FirstParagraph"/>
      </w:pPr>
      <w:r>
        <w:t>Getting to the root of a break fast, then fixing it so it doesn't come back. At CIBC I cleared over $500,000 in cash breaks and 29,800 share breaks in seven business days, which won the Moment Makers Award. Fixing the root causes went on to save $598,770. At SGGG I found a 25% NAVPU error in nine minutes when everything else reconciled. In a trust, a break is beneficiaries' money, so speed and accuracy together are what I bring.</w:t>
      </w:r>
    </w:p>
    <w:p>
      <w:pPr>
        <w:pStyle w:val="BodyText"/>
      </w:pPr>
      <w:r>
        <w:t>Coaching notes: three proof points, all on your resume or in your brag folder.</w:t>
      </w:r>
    </w:p>
    <w:bookmarkEnd w:id="38"/>
    <w:bookmarkStart w:id="39" w:name="whats-your-biggest-weakness"/>
    <w:p>
      <w:pPr>
        <w:pStyle w:val="Heading2"/>
      </w:pPr>
      <w:r>
        <w:t>20. What's your biggest weakness?</w:t>
      </w:r>
    </w:p>
    <w:p>
      <w:pPr>
        <w:pStyle w:val="FirstParagraph"/>
      </w:pPr>
      <w:r>
        <w:t>Early on, I'd hold an unresolved item too long and keep digging, because I wanted to bring my manager the answer, not the problem. In trust work that's the wrong instinct, so now I set a time limit. If a break isn't explained within that window, it goes to my manager with what I know so far. I've kept that habit at SMS. The other thing I'm actively doing is learning the benefit-trust side, contribution reconciliation, eligibility and plan rules, so I can carry BPA's trusts the way I carried my funds at SGGG.</w:t>
      </w:r>
    </w:p>
    <w:p>
      <w:pPr>
        <w:pStyle w:val="BodyText"/>
      </w:pPr>
      <w:r>
        <w:t>Coaching notes: You confirmed that holding unresolved items too long before escalating was a genuine weakness. Show the change: time-box the investigation, escalate with the facts available, and continue learning contribution reconciliation, eligibility and plan rules. The weakness is escalation timing, not trust accounting competence.</w:t>
      </w:r>
    </w:p>
    <w:bookmarkEnd w:id="39"/>
    <w:bookmarkStart w:id="40" w:name="where-do-you-see-yourself-in-three-years"/>
    <w:p>
      <w:pPr>
        <w:pStyle w:val="Heading2"/>
      </w:pPr>
      <w:r>
        <w:t>21. Where do you see yourself in three years?</w:t>
      </w:r>
    </w:p>
    <w:p>
      <w:pPr>
        <w:pStyle w:val="FirstParagraph"/>
      </w:pPr>
      <w:r>
        <w:t>Fully owning a portfolio of BPA trusts, from month-end and reconciliations to trustee reports and audit files, and being someone the Senior Trust Fund Accountant can hand work to with confidence. In year one, I'd learn BPA's contribution and benefit processes inside out, including administration handoffs, Sage, payment controls and investment schedules. After that, I'd improve them, for example by automating reconciliation checks the way I did at CIBC and SMS. I'm also open to a relevant designation and exploring which best fits my long-term direction.</w:t>
      </w:r>
    </w:p>
    <w:p>
      <w:pPr>
        <w:pStyle w:val="BodyText"/>
      </w:pPr>
      <w:r>
        <w:t>Coaching notes: Show a future at BPA. You are open to studying but have not committed to CPA or CEBS. Keep that honest; do not promise a qualification, a completion date or guaranteed exam success. Your preference is a practical route compatible with full-time work, ideally about two years, if you decide it is worth pursuing.</w:t>
      </w:r>
    </w:p>
    <w:bookmarkEnd w:id="40"/>
    <w:bookmarkStart w:id="41" w:name="Xefd7d89a7a96b81fef611d1ab06f615f5beb7d3"/>
    <w:p>
      <w:pPr>
        <w:pStyle w:val="Heading2"/>
      </w:pPr>
      <w:r>
        <w:t>22. Why should we pick you over someone with benefit-trust experience?</w:t>
      </w:r>
    </w:p>
    <w:p>
      <w:pPr>
        <w:pStyle w:val="FirstParagraph"/>
      </w:pPr>
      <w:r>
        <w:t>I've already been a trust fund accountant, with seven funds and their year-end audits. I bring fiduciary discipline, five years of reconciliation and audit work, and Excel automation that saved $24,500 and $598,770. Plan rules can be taught. The standard of care is harder to teach.</w:t>
      </w:r>
    </w:p>
    <w:p>
      <w:pPr>
        <w:pStyle w:val="BodyText"/>
      </w:pPr>
      <w:r>
        <w:t>Coaching notes: you reframe their experience gap without conceding the trust title. Respect the benefit-specific learning curve. Present your transferable trust accounting discipline without suggesting specialist plan knowledge is trivial.</w:t>
      </w:r>
    </w:p>
    <w:bookmarkEnd w:id="41"/>
    <w:bookmarkStart w:id="42" w:name="how-long-until-youre-fully-independent"/>
    <w:p>
      <w:pPr>
        <w:pStyle w:val="Heading2"/>
      </w:pPr>
      <w:r>
        <w:t>23. How long until you're fully independent?</w:t>
      </w:r>
    </w:p>
    <w:p>
      <w:pPr>
        <w:pStyle w:val="FirstParagraph"/>
      </w:pPr>
      <w:r>
        <w:t>I'd aim to handle the day-to-day on my own trusts within about three months, with the Senior Trust Fund Accountant reviewing my work, and be fully independent after the first year-end audit cycle.</w:t>
      </w:r>
    </w:p>
    <w:p>
      <w:pPr>
        <w:pStyle w:val="BodyText"/>
      </w:pPr>
      <w:r>
        <w:t>Coaching notes: realistic and specific, and it shows you respect the senior's review. These are targets, dependent on the portfolio, systems and training, rather than a promise of a particular assignment or an automatic three-month sign-off.</w:t>
      </w:r>
    </w:p>
    <w:bookmarkEnd w:id="42"/>
    <w:bookmarkEnd w:id="43"/>
    <w:p>
      <w:pPr>
        <w:pStyle w:val="Heading2"/>
      </w:pPr>
      <w:r>
        <w:t>24. Describe your day-to-day/daily duties at SMS Motors and SGGG.</w:t>
      </w:r>
    </w:p>
    <w:p>
      <w:pPr>
        <w:pStyle w:val="FirstParagraph"/>
      </w:pPr>
      <w:r>
        <w:t>At SMS Motors, I run full-cycle accounting and month-end for multiple entities. Day to day, I review operational files covering more than 150 transactions, post journal entries, reconcile cash and contract activity, investigate discrepancies, and maintain the supporting schedules for the balance sheet. I use Excel tools to check fee allocations and transaction logs, and I keep AP, AR, accruals and the HST and payroll remittance calendar current. Depending on the point in the month or year, I prepare the balance sheet and profit and loss statements, close the books and assemble the year-end audit support. At SGGG, my portfolio was seven funds, all structured as trusts: five daily funds and two weekly funds. My routine was to monitor cash and upcoming movements, prepare bank transfers for approval, record trades, expenses and accruals, reconcile the bank and cash records, and calculate NAVPU on each fund's schedule. I handled subscriptions, redemptions and distributions according to the fund documents. Monthly and quarterly work included income and expense allocations and management, performance and asset-based fee calculations. I also prepared financial statements, the income allocation schedules supporting T3 filings, and year-end audit packages containing 10 or more reports per fund. The common thread was keeping the cash, accounting records and supporting schedules accurate, resolving exceptions and meeting the reporting deadline.</w:t>
      </w:r>
    </w:p>
    <w:p>
      <w:pPr>
        <w:pStyle w:val="BodyText"/>
      </w:pPr>
      <w:r>
        <w:t>Coaching notes: Distinguish the daily routine from month-end, quarterly and year-end work. The five-daily/two-weekly split and SMS transaction volume come from your existing career profile; all seven funds being trusts comes from your correction in this chat. Do not import BPA contribution processing or Sage into your claimed SMS/SGGG experience.</w:t>
      </w:r>
    </w:p>
    <w:p>
      <w:pPr>
        <w:pStyle w:val="Heading2"/>
      </w:pPr>
      <w:r>
        <w:t>25. How would you account for a $1 million capital call and process the payment?</w:t>
      </w:r>
    </w:p>
    <w:p>
      <w:pPr>
        <w:pStyle w:val="FirstParagraph"/>
      </w:pPr>
      <w:r>
        <w:t>I would first read the capital-call notice and check the correct trust, due date, authorized payment instructions, available cash and what the call funds. Assuming the full amount is investment principal, no liability has already been booked, and the payment funds the investment, I debit Investment for $1 million and credit Bank for $1 million. The investment rises and cash falls; it is not a $1 million expense. If a payable was already recorded, payment clears that payable instead, and I do not book the investment twice. I would separate any fees or other components, follow the required review and release controls, retain the payment confirmation and reconcile the cash and investment records.</w:t>
      </w:r>
    </w:p>
    <w:p>
      <w:pPr>
        <w:pStyle w:val="BodyText"/>
      </w:pPr>
      <w:r>
        <w:t>Coaching notes: Inferred from the employee notes, not a guaranteed interview question. A commitment, call notice, payable and cash payment are different stages. The entry assumes one currency, no taxes or transaction costs, and a principal-only funding payment. Do not imply you select the investment manager or can release a wire without approval.</w:t>
      </w:r>
    </w:p>
    <w:p>
      <w:pPr>
        <w:pStyle w:val="Heading2"/>
      </w:pPr>
      <w:r>
        <w:t>26. An investment costs $1 million, rises to $1.1 million and is sold for $1.3 million. Walk me through the entries.</w:t>
      </w:r>
    </w:p>
    <w:p>
      <w:pPr>
        <w:pStyle w:val="FirstParagraph"/>
      </w:pPr>
      <w:r>
        <w:t>Assuming fair-value changes are recognized in income, the purchase is a $1 million debit to Investment and a $1 million credit to Bank. The rise to $1.1 million is a $100,000 debit to Investment or its fair-value adjustment account and a $100,000 credit to Unrealized investment gain. No cash is received on that revaluation. On the sale, I debit Bank for $1.3 million, credit Investment for its $1.1 million carrying amount, and recognize the additional $200,000 gain above carrying value. The total gain over original cost is $300,000, but $100,000 was already recognized at revaluation, so I must not count it twice. If the valuation falls instead, I debit the unrealized loss and credit the investment adjustment. I would follow the trust's accounting policy for the realized and unrealized presentation and check the periods involved.</w:t>
      </w:r>
    </w:p>
    <w:p>
      <w:pPr>
        <w:pStyle w:val="BodyText"/>
      </w:pPr>
      <w:r>
        <w:t>Coaching notes: Inferred from the employee notes. Fair-value-through-income is an assumption for the exercise, not a confirmed framework for every BPA trust. Ignore fees, taxes and currency effects only for this simplified example. Do not blindly reverse a prior-period gain through current-period income, and do not call the full $300,000 current-period income if part was recognized earlier.</w:t>
      </w:r>
    </w:p>
    <w:p>
      <w:pPr>
        <w:pStyle w:val="Heading2"/>
      </w:pPr>
      <w:r>
        <w:t>27. An investment manager sends a distribution. How do you decide what to book?</w:t>
      </w:r>
    </w:p>
    <w:p>
      <w:pPr>
        <w:pStyle w:val="FirstParagraph"/>
      </w:pPr>
      <w:r>
        <w:t>I read the distribution notice before deciding the entry. If it is a return of capital that reduces carrying value under the accounting policy, I debit Bank and credit Investment. If it is an income distribution recognized as current income, I debit Bank and credit Investment income. If the payment contains both, I split the credits using the notice and the policy. If the amount was already recognized as a receivable, I debit Bank and clear that receivable rather than recognizing income again. Then I reconcile the cash and investment roll-forward to the supporting records. Cash received is not automatically all income.</w:t>
      </w:r>
    </w:p>
    <w:p>
      <w:pPr>
        <w:pStyle w:val="BodyText"/>
      </w:pPr>
      <w:r>
        <w:t>Coaching notes: Inferred from the employee notes. Apply the actual policy and notice; some investment structures require different treatment. Opening carrying value plus additions, less the carrying amount removed on disposals and capital returned where applicable, plus or minus valuation and other relevant adjustments, should reconcile to closing carrying value. Sale proceeds are different from the carrying amount derecognized.</w:t>
      </w:r>
    </w:p>
    <w:p>
      <w:pPr>
        <w:pStyle w:val="Heading2"/>
      </w:pPr>
      <w:r>
        <w:t>28. How do you accrue a quarterly or half-yearly expense, and what if the invoice has not arrived?</w:t>
      </w:r>
    </w:p>
    <w:p>
      <w:pPr>
        <w:pStyle w:val="FirstParagraph"/>
      </w:pPr>
      <w:r>
        <w:t>I recognize the cost in the period the service is received, rather than waiting for the invoice or payment date. For example, if a $12,000 quarterly management fee is earned evenly, I debit Management fee expense and credit Accrued expenses for $4,000 each month. A $6,000 half-year custody charge earned evenly would be $1,000 per month. I support the estimate, compare it with the invoice when it arrives, true up any difference and clear the accrual through the approved invoice or payment process without expensing it twice. If the invoice is already in AP, I do not add a duplicate accrual. Interest incurred but unpaid is an expense and a payable; interest earned but not received is income and a receivable. A payment for future coverage is different: I record a prepaid asset and expense it as coverage is received.</w:t>
      </w:r>
    </w:p>
    <w:p>
      <w:pPr>
        <w:pStyle w:val="BodyText"/>
      </w:pPr>
      <w:r>
        <w:t>Coaching notes: Inferred from the employee notes. These are training figures, not BPA fee amounts. For audit costs, accrue supported work received, not an entire annual budget automatically. For a $12,000 annual insurance prepayment with even coverage, debit Prepaid insurance and credit Bank on payment, then debit Insurance expense and credit Prepaid insurance for $1,000 monthly. Actual fees may depend on assets or other terms rather than straight-line time allocation.</w:t>
      </w:r>
    </w:p>
    <w:p>
      <w:pPr>
        <w:pStyle w:val="Heading2"/>
      </w:pPr>
      <w:r>
        <w:t>Employee-note context and boundaries</w:t>
      </w:r>
    </w:p>
    <w:p>
      <w:pPr>
        <w:pStyle w:val="BodyText"/>
      </w:pPr>
      <w:r>
        <w:t>Employee-reported context: People Corporation portfolio; BPA, McAteer and Coughlin; Local 183 work; an approximate reporting chain described as Rihan, Manager Fund Accounting, Senior Fund Accountant and Fund Accountant; benefits, accounting and pension functions. Public sources corroborate the portfolio and third-party-administration services, not the exact vacancy assignment, the personal hierarchy, a count of participating employers or an acquisition motive. Do not repeat the monopoly claim or describe BPA as an actual SGGG client. LiUNA Local 183 is a union local; LiUNAcare is the member website/service. Employer remittances and member records feed trust administration; the trust money is not unrestricted union or BPA corporate cash.</w:t>
      </w:r>
    </w:p>
    <w:p>
      <w:pPr>
        <w:pStyle w:val="Heading2"/>
      </w:pPr>
      <w:r>
        <w:t>Receipt workflow to understand</w:t>
      </w:r>
    </w:p>
    <w:p>
      <w:pPr>
        <w:pStyle w:val="BodyText"/>
      </w:pPr>
      <w:r>
        <w:t>The employee described daily cheques, direct deposits and pre-authorized receipts; administration receives employer/member details and posts its records, while accounting deposits and records receipts in Sage and reconciles to administration at month-end. Distinguish incoming receipts from outgoing pre-authorized debits, identify the actual timing and handoff, and confirm which Sage product and administration system this team uses. This is employee context, not a claim that you previously did BPA work.</w:t>
      </w:r>
    </w:p>
    <w:p>
      <w:pPr>
        <w:pStyle w:val="Heading2"/>
      </w:pPr>
      <w:r>
        <w:t>Practice follow-ups and questions to ask</w:t>
      </w:r>
    </w:p>
    <w:p>
      <w:pPr>
        <w:pStyle w:val="BodyText"/>
      </w:pPr>
      <w:r>
        <w:t>Inferred practice: explain why bank and Sage can agree while administration differs; distinguish $20,000 received with only $18,000 allocated from $20,000 due with only $18,000 received; handle an unidentified receipt; explain a capital call and benefit payment due on the same day; and outline the supporting schedules for quarterly statements. Ask how accounting and administration resolve member-allocation exceptions, which workflow steps this role owns, how investment reporting differs across the portfolio, what the month-end review package includes and what confident ownership looks like after three months.</w:t>
      </w:r>
    </w:p>
    <w:p>
      <w:pPr>
        <w:pStyle w:val="Heading2"/>
      </w:pPr>
      <w:r>
        <w:t>Sources and dated technical assumptions</w:t>
      </w:r>
    </w:p>
    <w:p>
      <w:pPr>
        <w:pStyle w:val="BodyText"/>
      </w:pPr>
      <w:r>
        <w:t>Employee source: Insider information to use on top of what we have for BPA hiring manager roud.docx. Public checks reviewed October 21, 2026: BPA services, https://bpagroup.com/services ; People Corporation portfolio, https://peoplecorporation.wd10.myworkdayjobs.com/en-US/People_Corporation/job/Vice-President--Client-Success_JR1763-1 ; LiUNAcare support, https://www.liunacare183.com/support/ ; Ontario RST, https://www.ontario.ca/document/retail-sales-tax/insurance-and-benefits-plans ; Quebec rate notice, https://www.revenuquebec.ca/en/press-room/tax-news/details/2026-04-09/harmonization-of-the-insurance-premiums-tax-rate-with-the-qst-rate/ ; accounting measurement overview, https://www.ifrs.org/issued-standards/list-of-standards/ifrs-9-financial-instruments/ . The journal entries are simplified exercises under stated assumptions; the applicable trust framework and policy govern actual treatment.</w:t>
      </w:r>
    </w:p>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pPr>
      <w:spacing w:after="180" w:before="180"/>
    </w:pPr>
    <w:qFormat/>
    <w:rPr>
      <w:rFonts w:ascii="Calibri" w:cs="Calibri" w:eastAsia="Calibri" w:hAnsi="Calibri"/>
    </w:rPr>
  </w:style>
  <w:style w:customStyle="1" w:styleId="FirstParagraph" w:type="paragraph">
    <w:name w:val="First Paragraph"/>
    <w:basedOn w:val="BodyText"/>
    <w:next w:val="BodyText"/>
    <w:qFormat/>
    <w:rPr>
      <w:rFonts w:ascii="Calibri" w:cs="Calibri" w:eastAsia="Calibri" w:hAnsi="Calibri"/>
    </w:rPr>
  </w:style>
  <w:style w:customStyle="1" w:styleId="Compact" w:type="paragraph">
    <w:name w:val="Compact"/>
    <w:basedOn w:val="BodyText"/>
    <w:qFormat/>
    <w:pPr>
      <w:spacing w:after="36" w:before="36"/>
    </w:pPr>
    <w:rPr>
      <w:rFonts w:ascii="Calibri" w:cs="Calibri" w:eastAsia="Calibri" w:hAnsi="Calibri"/>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cs="Calibri" w:eastAsia="Calibri" w:hAnsi="Calibri"/>
      <w:sz w:val="30"/>
      <w:szCs w:val="30"/>
    </w:rPr>
  </w:style>
  <w:style w:customStyle="1" w:styleId="Author" w:type="paragraph">
    <w:name w:val="Author"/>
    <w:next w:val="BodyText"/>
    <w:qFormat/>
    <w:pPr>
      <w:keepNext/>
      <w:keepLines/>
      <w:jc w:val="center"/>
    </w:pPr>
    <w:rPr>
      <w:rFonts w:ascii="Calibri" w:cs="Calibri" w:eastAsia="Calibri" w:hAnsi="Calibri"/>
    </w:rPr>
  </w:style>
  <w:style w:styleId="Date" w:type="paragraph">
    <w:name w:val="Date"/>
    <w:next w:val="BodyText"/>
    <w:qFormat/>
    <w:pPr>
      <w:keepNext/>
      <w:keepLines/>
      <w:jc w:val="center"/>
    </w:pPr>
    <w:rPr>
      <w:rFonts w:ascii="Calibri" w:cs="Calibri" w:eastAsia="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cs="Calibri" w:eastAsia="Calibri" w:hAnsi="Calibri"/>
      <w:b/>
      <w:color w:val="345A8A"/>
      &gt;
    </w:rPr>
  </w:style>
  <w:style w:customStyle="1" w:styleId="Abstract" w:type="paragraph">
    <w:name w:val="Abstract"/>
    <w:basedOn w:val="Normal"/>
    <w:next w:val="BodyText"/>
    <w:qFormat/>
    <w:pPr>
      <w:keepNext/>
      <w:keepLines/>
      <w:spacing w:after="300" w:before="100"/>
    </w:pPr>
    <w:rPr>
      <w:rFonts w:ascii="Calibri" w:cs="Calibri" w:eastAsia="Calibri" w:hAnsi="Calibri"/>
      <w:sz w:val="20"/>
      <w:szCs w:val="20"/>
    </w:rPr>
  </w:style>
  <w:style w:styleId="Bibliography" w:type="paragraph">
    <w:name w:val="Bibliography"/>
    <w:basedOn w:val="Normal"/>
    <w:next w:val="Bibliography"/>
    <w:qFormat/>
    <w:pPr/>
    <w:rPr>
      <w:rFonts w:ascii="Calibri" w:cs="Calibri" w:eastAsia="Calibri" w:hAnsi="Calibri"/>
    </w:rPr>
  </w:style>
  <w:style w:styleId="Heading1" w:type="paragraph">
    <w:name w:val="Heading 1"/>
    <w:basedOn w:val="Normal"/>
    <w:next w:val="BodyText"/>
    <w:uiPriority w:val="9"/>
    <w:qFormat/>
    <w:pPr>
      <w:keepNext/>
      <w:keepLines/>
      <w:spacing w:after="0" w:before="480"/>
      <w:outlineLvl w:val="0"/>
    </w:pPr>
    <w:rPr>
      <w:rFonts w:ascii="Calibri" w:asciiTheme="majorHAnsi" w:cs="Calibri" w:cstheme="majorBidi" w:eastAsia="Calibri"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Calibri" w:cstheme="majorBidi" w:eastAsia="Calibri"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Calibri" w:cstheme="majorBidi" w:eastAsia="Calibri"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Calibri" w:cstheme="majorBidi" w:eastAsia="Calibri" w:eastAsiaTheme="majorEastAsia" w:hAnsi="Calibri"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Calibri" w:cstheme="majorBidi" w:eastAsia="Calibri"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Calibri" w:cstheme="majorBidi" w:eastAsia="Calibri"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Calibri" w:cstheme="majorBidi" w:eastAsia="Calibri"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Calibri" w:cstheme="majorBidi" w:eastAsia="Calibri"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Calibri" w:cstheme="majorBidi" w:eastAsia="Calibri" w:eastAsiaTheme="majorEastAsia" w:hAnsi="Calibri"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rPr>
  </w:style>
  <w:style w:styleId="FootnoteText" w:type="paragraph">
    <w:name w:val="Footnote Text"/>
    <w:basedOn w:val="Normal"/>
    <w:next w:val="FootnoteText"/>
    <w:uiPriority w:val="9"/>
    <w:unhideWhenUsed/>
    <w:qFormat/>
    <w:rPr>
      <w:rFonts w:ascii="Calibri" w:cs="Calibri" w:eastAsia="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cs="Calibri" w:eastAsia="Calibri" w:hAnsi="Calibri"/>
      <w:b/>
    </w:rPr>
  </w:style>
  <w:style w:customStyle="1" w:styleId="Definition" w:type="paragraph">
    <w:name w:val="Definition"/>
    <w:basedOn w:val="Normal"/>
    <w:rPr>
      <w:rFonts w:ascii="Calibri" w:cs="Calibri" w:eastAsia="Calibri" w:hAnsi="Calibri"/>
    </w:rPr>
  </w:style>
  <w:style w:styleId="Caption" w:type="paragraph">
    <w:name w:val="Caption"/>
    <w:basedOn w:val="Normal"/>
    <w:link w:val="BodyTextChar"/>
    <w:pPr>
      <w:spacing w:after="120" w:before="0"/>
    </w:pPr>
    <w:rPr>
      <w:rFonts w:ascii="Calibri" w:cs="Calibri" w:eastAsia="Calibri" w:hAnsi="Calibri"/>
      <w:i/>
    </w:rPr>
  </w:style>
  <w:style w:customStyle="1" w:styleId="TableCaption" w:type="paragraph">
    <w:name w:val="Table Caption"/>
    <w:basedOn w:val="Caption"/>
    <w:pPr>
      <w:keepNext/>
    </w:pPr>
    <w:rPr>
      <w:rFonts w:ascii="Calibri" w:cs="Calibri" w:eastAsia="Calibri" w:hAnsi="Calibri"/>
    </w:rPr>
  </w:style>
  <w:style w:customStyle="1" w:styleId="ImageCaption" w:type="paragraph">
    <w:name w:val="Image Caption"/>
    <w:basedOn w:val="Caption"/>
    <w:rPr>
      <w:rFonts w:ascii="Calibri" w:cs="Calibri" w:eastAsia="Calibri" w:hAnsi="Calibri"/>
    </w:rPr>
  </w:style>
  <w:style w:customStyle="1" w:styleId="Figure" w:type="paragraph">
    <w:name w:val="Figure"/>
    <w:basedOn w:val="Normal"/>
    <w:rPr>
      <w:rFonts w:ascii="Calibri" w:cs="Calibri" w:eastAsia="Calibri" w:hAnsi="Calibri"/>
    </w:rPr>
  </w:style>
  <w:style w:customStyle="1" w:styleId="CaptionedFigure" w:type="paragraph">
    <w:name w:val="Captioned Figure"/>
    <w:basedOn w:val="Figure"/>
    <w:pPr>
      <w:keepNext/>
    </w:pPr>
    <w:rPr>
      <w:rFonts w:ascii="Calibri" w:cs="Calibri" w:eastAsia="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Calibri" w:cstheme="majorBidi" w:eastAsia="Calibri" w:eastAsiaTheme="majorEastAsia" w:hAnsi="Calibri" w:hAnsiTheme="majorHAnsi"/>
      <w:b w:val="0"/>
      <w:bCs w:val="0"/>
      <w:color w:themeColor="accent1" w:themeShade="BF" w:val="365F91"/>
    </w:rPr>
  </w:style>
  <w:style w:customStyle="1" w:styleId="SourceCode" w:type="paragraph">
    <w:name w:val="Source Code"/>
    <w:basedOn w:val="Normal"/>
    <w:link w:val="VerbatimChar"/>
    <w:pPr>
      <w:wordWrap w:val="off"/>
    </w:pPr>
    <w:rPr>
      <w:rFonts w:ascii="Calibri" w:cs="Calibri" w:eastAsia="Calibri" w:hAnsi="Calibri"/>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2026-10-20T23:23:01Z</dcterms:created>
  <dcterms:modified xsi:type="dcterms:W3CDTF">2026-10-20T23:23:01Z</dcterms:modified>
</cp:coreProperties>
</file>

<file path=docProps/custom.xml><?xml version="1.0" encoding="utf-8"?>
<Properties xmlns="http://schemas.openxmlformats.org/officeDocument/2006/custom-properties" xmlns:vt="http://schemas.openxmlformats.org/officeDocument/2006/docPropsVTypes"/>
</file>