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1316A" w:rsidRDefault="00C1316A">
      <w:pPr>
        <w:spacing w:before="1400"/>
      </w:pPr>
    </w:p>
    <w:p w:rsidR="00C1316A" w:rsidRPr="001C3457" w:rsidRDefault="00045BFC">
      <w:pPr>
        <w:jc w:val="center"/>
        <w:rPr>
          <w:sz w:val="36"/>
          <w:szCs w:val="36"/>
        </w:rPr>
      </w:pPr>
      <w:r w:rsidRPr="001C3457">
        <w:rPr>
          <w:b/>
          <w:bCs/>
          <w:color w:val="1F4E79"/>
          <w:sz w:val="36"/>
          <w:szCs w:val="36"/>
        </w:rPr>
        <w:t>Exploratory Data Analysis</w:t>
      </w:r>
    </w:p>
    <w:p w:rsidR="00C1316A" w:rsidRPr="001C3457" w:rsidRDefault="00045BFC">
      <w:pPr>
        <w:spacing w:after="300"/>
        <w:jc w:val="center"/>
        <w:rPr>
          <w:sz w:val="36"/>
          <w:szCs w:val="36"/>
        </w:rPr>
      </w:pPr>
      <w:proofErr w:type="gramStart"/>
      <w:r w:rsidRPr="001C3457">
        <w:rPr>
          <w:b/>
          <w:bCs/>
          <w:color w:val="2E9E8F"/>
          <w:sz w:val="36"/>
          <w:szCs w:val="36"/>
        </w:rPr>
        <w:t>and</w:t>
      </w:r>
      <w:proofErr w:type="gramEnd"/>
      <w:r w:rsidRPr="001C3457">
        <w:rPr>
          <w:b/>
          <w:bCs/>
          <w:color w:val="2E9E8F"/>
          <w:sz w:val="36"/>
          <w:szCs w:val="36"/>
        </w:rPr>
        <w:t xml:space="preserve"> Visualization of </w:t>
      </w:r>
      <w:proofErr w:type="spellStart"/>
      <w:r w:rsidRPr="001C3457">
        <w:rPr>
          <w:b/>
          <w:bCs/>
          <w:color w:val="2E9E8F"/>
          <w:sz w:val="36"/>
          <w:szCs w:val="36"/>
        </w:rPr>
        <w:t>Aadhaar</w:t>
      </w:r>
      <w:proofErr w:type="spellEnd"/>
      <w:r w:rsidRPr="001C3457">
        <w:rPr>
          <w:b/>
          <w:bCs/>
          <w:color w:val="2E9E8F"/>
          <w:sz w:val="36"/>
          <w:szCs w:val="36"/>
        </w:rPr>
        <w:t xml:space="preserve"> </w:t>
      </w:r>
      <w:proofErr w:type="spellStart"/>
      <w:r w:rsidRPr="001C3457">
        <w:rPr>
          <w:b/>
          <w:bCs/>
          <w:color w:val="2E9E8F"/>
          <w:sz w:val="36"/>
          <w:szCs w:val="36"/>
        </w:rPr>
        <w:t>Enrollment</w:t>
      </w:r>
      <w:proofErr w:type="spellEnd"/>
      <w:r w:rsidRPr="001C3457">
        <w:rPr>
          <w:b/>
          <w:bCs/>
          <w:color w:val="2E9E8F"/>
          <w:sz w:val="36"/>
          <w:szCs w:val="36"/>
        </w:rPr>
        <w:t xml:space="preserve"> Data</w:t>
      </w:r>
    </w:p>
    <w:p w:rsidR="00C1316A" w:rsidRPr="001C3457" w:rsidRDefault="00045BFC">
      <w:pPr>
        <w:spacing w:before="600"/>
        <w:jc w:val="center"/>
        <w:rPr>
          <w:sz w:val="28"/>
          <w:szCs w:val="28"/>
        </w:rPr>
      </w:pPr>
      <w:r w:rsidRPr="001C3457">
        <w:rPr>
          <w:i/>
          <w:iCs/>
          <w:color w:val="595959"/>
          <w:sz w:val="28"/>
          <w:szCs w:val="28"/>
        </w:rPr>
        <w:t>Week 3 Task — Data Analyst Internship</w:t>
      </w:r>
    </w:p>
    <w:p w:rsidR="00C1316A" w:rsidRPr="001C3457" w:rsidRDefault="001C3457">
      <w:pPr>
        <w:spacing w:before="900"/>
        <w:jc w:val="center"/>
        <w:rPr>
          <w:sz w:val="32"/>
          <w:szCs w:val="32"/>
        </w:rPr>
      </w:pPr>
      <w:r w:rsidRPr="001C3457">
        <w:rPr>
          <w:sz w:val="32"/>
          <w:szCs w:val="32"/>
        </w:rPr>
        <w:t xml:space="preserve">Prepared by: </w:t>
      </w:r>
      <w:proofErr w:type="spellStart"/>
      <w:r w:rsidRPr="001C3457">
        <w:rPr>
          <w:sz w:val="32"/>
          <w:szCs w:val="32"/>
        </w:rPr>
        <w:t>Chitranjan</w:t>
      </w:r>
      <w:proofErr w:type="spellEnd"/>
      <w:r w:rsidRPr="001C3457">
        <w:rPr>
          <w:sz w:val="32"/>
          <w:szCs w:val="32"/>
        </w:rPr>
        <w:t xml:space="preserve"> </w:t>
      </w:r>
      <w:proofErr w:type="spellStart"/>
      <w:r w:rsidRPr="001C3457">
        <w:rPr>
          <w:sz w:val="32"/>
          <w:szCs w:val="32"/>
        </w:rPr>
        <w:t>Vishwakarma</w:t>
      </w:r>
      <w:proofErr w:type="spellEnd"/>
    </w:p>
    <w:p w:rsidR="00C1316A" w:rsidRPr="00EF562A" w:rsidRDefault="00045BFC">
      <w:pPr>
        <w:spacing w:before="120"/>
        <w:jc w:val="center"/>
        <w:rPr>
          <w:sz w:val="28"/>
          <w:szCs w:val="28"/>
        </w:rPr>
      </w:pPr>
      <w:r w:rsidRPr="00EF562A">
        <w:rPr>
          <w:color w:val="595959"/>
          <w:sz w:val="28"/>
          <w:szCs w:val="28"/>
        </w:rPr>
        <w:t>September 2026</w:t>
      </w:r>
    </w:p>
    <w:p w:rsidR="00C1316A" w:rsidRDefault="00045BFC">
      <w:r>
        <w:br w:type="page"/>
      </w:r>
      <w:bookmarkStart w:id="0" w:name="_GoBack"/>
      <w:bookmarkEnd w:id="0"/>
    </w:p>
    <w:p w:rsidR="00C1316A" w:rsidRPr="001C3457" w:rsidRDefault="00045BFC">
      <w:pPr>
        <w:pStyle w:val="Heading1"/>
        <w:rPr>
          <w:sz w:val="32"/>
          <w:szCs w:val="32"/>
        </w:rPr>
      </w:pPr>
      <w:bookmarkStart w:id="1" w:name="_Toc240100252"/>
      <w:r w:rsidRPr="001C3457">
        <w:rPr>
          <w:sz w:val="32"/>
          <w:szCs w:val="32"/>
        </w:rPr>
        <w:lastRenderedPageBreak/>
        <w:t>Table of Contents</w:t>
      </w:r>
      <w:bookmarkEnd w:id="1"/>
    </w:p>
    <w:sdt>
      <w:sdtPr>
        <w:alias w:val="Table of Contents"/>
        <w:id w:val="-505662910"/>
      </w:sdtPr>
      <w:sdtEndPr>
        <w:rPr>
          <w:rFonts w:cs="Calibri"/>
          <w:sz w:val="28"/>
          <w:szCs w:val="28"/>
        </w:rPr>
      </w:sdtEndPr>
      <w:sdtContent>
        <w:p w:rsidR="001C3457" w:rsidRPr="001C3457" w:rsidRDefault="00045BFC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r w:rsidRPr="001C3457">
            <w:rPr>
              <w:sz w:val="28"/>
              <w:szCs w:val="28"/>
            </w:rPr>
            <w:fldChar w:fldCharType="begin"/>
          </w:r>
          <w:r w:rsidRPr="001C3457">
            <w:rPr>
              <w:sz w:val="28"/>
              <w:szCs w:val="28"/>
            </w:rPr>
            <w:instrText>TOC \h \o "1-3"</w:instrText>
          </w:r>
          <w:r w:rsidRPr="001C3457">
            <w:rPr>
              <w:sz w:val="28"/>
              <w:szCs w:val="28"/>
            </w:rPr>
            <w:fldChar w:fldCharType="separate"/>
          </w:r>
          <w:hyperlink w:anchor="_Toc240100252" w:history="1">
            <w:r w:rsidR="001C3457" w:rsidRPr="001C3457">
              <w:rPr>
                <w:rStyle w:val="Hyperlink"/>
                <w:noProof/>
                <w:sz w:val="28"/>
                <w:szCs w:val="28"/>
              </w:rPr>
              <w:t>Table of Contents</w:t>
            </w:r>
            <w:r w:rsidR="001C3457" w:rsidRPr="001C3457">
              <w:rPr>
                <w:noProof/>
                <w:sz w:val="28"/>
                <w:szCs w:val="28"/>
              </w:rPr>
              <w:tab/>
            </w:r>
            <w:r w:rsidR="001C3457" w:rsidRPr="001C3457">
              <w:rPr>
                <w:noProof/>
                <w:sz w:val="28"/>
                <w:szCs w:val="28"/>
              </w:rPr>
              <w:fldChar w:fldCharType="begin"/>
            </w:r>
            <w:r w:rsidR="001C3457" w:rsidRPr="001C3457">
              <w:rPr>
                <w:noProof/>
                <w:sz w:val="28"/>
                <w:szCs w:val="28"/>
              </w:rPr>
              <w:instrText xml:space="preserve"> PAGEREF _Toc240100252 \h </w:instrText>
            </w:r>
            <w:r w:rsidR="001C3457" w:rsidRPr="001C3457">
              <w:rPr>
                <w:noProof/>
                <w:sz w:val="28"/>
                <w:szCs w:val="28"/>
              </w:rPr>
            </w:r>
            <w:r w:rsidR="001C3457" w:rsidRPr="001C3457">
              <w:rPr>
                <w:noProof/>
                <w:sz w:val="28"/>
                <w:szCs w:val="28"/>
              </w:rPr>
              <w:fldChar w:fldCharType="separate"/>
            </w:r>
            <w:r w:rsidR="001C3457" w:rsidRPr="001C3457">
              <w:rPr>
                <w:noProof/>
                <w:sz w:val="28"/>
                <w:szCs w:val="28"/>
              </w:rPr>
              <w:t>2</w:t>
            </w:r>
            <w:r w:rsidR="001C3457"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53" w:history="1">
            <w:r w:rsidRPr="001C3457">
              <w:rPr>
                <w:rStyle w:val="Hyperlink"/>
                <w:noProof/>
                <w:sz w:val="28"/>
                <w:szCs w:val="28"/>
              </w:rPr>
              <w:t>1. Executive Summary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_Toc240100253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3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54" w:history="1">
            <w:r w:rsidRPr="001C3457">
              <w:rPr>
                <w:rStyle w:val="Hyperlink"/>
                <w:noProof/>
                <w:sz w:val="28"/>
                <w:szCs w:val="28"/>
              </w:rPr>
              <w:t>2. Objective and Scope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_Toc240100254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3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55" w:history="1">
            <w:r w:rsidRPr="001C3457">
              <w:rPr>
                <w:rStyle w:val="Hyperlink"/>
                <w:noProof/>
                <w:sz w:val="28"/>
                <w:szCs w:val="28"/>
              </w:rPr>
              <w:t>3. Data Selection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_Toc240100255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3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56" w:history="1">
            <w:r w:rsidRPr="001C3457">
              <w:rPr>
                <w:rStyle w:val="Hyperlink"/>
                <w:noProof/>
                <w:sz w:val="28"/>
                <w:szCs w:val="28"/>
              </w:rPr>
              <w:t>3.1 Dataset and Rationale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_Toc240100256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3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57" w:history="1">
            <w:r w:rsidRPr="001C3457">
              <w:rPr>
                <w:rStyle w:val="Hyperlink"/>
                <w:noProof/>
                <w:sz w:val="28"/>
                <w:szCs w:val="28"/>
              </w:rPr>
              <w:t>3.2 Assumptions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_Toc240100257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3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58" w:history="1">
            <w:r w:rsidRPr="001C3457">
              <w:rPr>
                <w:rStyle w:val="Hyperlink"/>
                <w:noProof/>
                <w:sz w:val="28"/>
                <w:szCs w:val="28"/>
              </w:rPr>
              <w:t>4. Initial Analysis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_Toc240100258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3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59" w:history="1">
            <w:r w:rsidRPr="001C3457">
              <w:rPr>
                <w:rStyle w:val="Hyperlink"/>
                <w:noProof/>
                <w:sz w:val="28"/>
                <w:szCs w:val="28"/>
              </w:rPr>
              <w:t>4.1 Descriptive Statistics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_Toc240100259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3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0" w:history="1">
            <w:r w:rsidRPr="001C3457">
              <w:rPr>
                <w:rStyle w:val="Hyperlink"/>
                <w:noProof/>
                <w:sz w:val="28"/>
                <w:szCs w:val="28"/>
              </w:rPr>
              <w:t>4.2 Hypothesis Formulation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_Toc240100260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4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1" w:history="1">
            <w:r w:rsidRPr="001C3457">
              <w:rPr>
                <w:rStyle w:val="Hyperlink"/>
                <w:noProof/>
                <w:sz w:val="28"/>
                <w:szCs w:val="28"/>
              </w:rPr>
              <w:t>5. Visualizations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_Toc240100261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4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2" w:history="1">
            <w:r w:rsidRPr="001C3457">
              <w:rPr>
                <w:rStyle w:val="Hyperlink"/>
                <w:noProof/>
                <w:sz w:val="28"/>
                <w:szCs w:val="28"/>
              </w:rPr>
              <w:t>5.1 Figure 1 — Age Distribution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_Toc240100262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5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3" w:history="1">
            <w:r w:rsidRPr="001C3457">
              <w:rPr>
                <w:rStyle w:val="Hyperlink"/>
                <w:noProof/>
                <w:sz w:val="28"/>
                <w:szCs w:val="28"/>
              </w:rPr>
              <w:t>5.2 Figure 2 — Rejection Rate by Age Group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_Toc240100263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5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4" w:history="1">
            <w:r w:rsidRPr="001C3457">
              <w:rPr>
                <w:rStyle w:val="Hyperlink"/>
                <w:noProof/>
                <w:sz w:val="28"/>
                <w:szCs w:val="28"/>
              </w:rPr>
              <w:t>5.3 Figure 3 — Mobile Capture Rate vs. Rejection Rate (State Level)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_Toc240100264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6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5" w:history="1">
            <w:r w:rsidRPr="001C3457">
              <w:rPr>
                <w:rStyle w:val="Hyperlink"/>
                <w:noProof/>
                <w:sz w:val="28"/>
                <w:szCs w:val="28"/>
              </w:rPr>
              <w:t>5.4 Figure 4 — Rejection Rate by Gender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_Toc240100265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6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6" w:history="1">
            <w:r w:rsidRPr="001C3457">
              <w:rPr>
                <w:rStyle w:val="Hyperlink"/>
                <w:noProof/>
                <w:sz w:val="28"/>
                <w:szCs w:val="28"/>
              </w:rPr>
              <w:t>5.5 Figure 5 — Correlation Matrix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_Toc240100266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7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2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7" w:history="1">
            <w:r w:rsidRPr="001C3457">
              <w:rPr>
                <w:rStyle w:val="Hyperlink"/>
                <w:noProof/>
                <w:sz w:val="28"/>
                <w:szCs w:val="28"/>
              </w:rPr>
              <w:t>5.6 Figure 6 — Age Distribution by Gender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_Toc240100267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8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8" w:history="1">
            <w:r w:rsidRPr="001C3457">
              <w:rPr>
                <w:rStyle w:val="Hyperlink"/>
                <w:noProof/>
                <w:sz w:val="28"/>
                <w:szCs w:val="28"/>
              </w:rPr>
              <w:t>6. Insight Discussion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_Toc240100268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9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69" w:history="1">
            <w:r w:rsidRPr="001C3457">
              <w:rPr>
                <w:rStyle w:val="Hyperlink"/>
                <w:noProof/>
                <w:sz w:val="28"/>
                <w:szCs w:val="28"/>
              </w:rPr>
              <w:t>7. Statistical Summary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_Toc240100269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10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70" w:history="1">
            <w:r w:rsidRPr="001C3457">
              <w:rPr>
                <w:rStyle w:val="Hyperlink"/>
                <w:noProof/>
                <w:sz w:val="28"/>
                <w:szCs w:val="28"/>
              </w:rPr>
              <w:t>8. Limitations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_Toc240100270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10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1C3457" w:rsidRPr="001C3457" w:rsidRDefault="001C3457">
          <w:pPr>
            <w:pStyle w:val="TOC1"/>
            <w:tabs>
              <w:tab w:val="right" w:leader="dot" w:pos="10070"/>
            </w:tabs>
            <w:rPr>
              <w:noProof/>
              <w:sz w:val="28"/>
              <w:szCs w:val="28"/>
            </w:rPr>
          </w:pPr>
          <w:hyperlink w:anchor="_Toc240100271" w:history="1">
            <w:r w:rsidRPr="001C3457">
              <w:rPr>
                <w:rStyle w:val="Hyperlink"/>
                <w:noProof/>
                <w:sz w:val="28"/>
                <w:szCs w:val="28"/>
              </w:rPr>
              <w:t>9. Conclusion</w:t>
            </w:r>
            <w:r w:rsidRPr="001C3457">
              <w:rPr>
                <w:noProof/>
                <w:sz w:val="28"/>
                <w:szCs w:val="28"/>
              </w:rPr>
              <w:tab/>
            </w:r>
            <w:r w:rsidRPr="001C3457">
              <w:rPr>
                <w:noProof/>
                <w:sz w:val="28"/>
                <w:szCs w:val="28"/>
              </w:rPr>
              <w:fldChar w:fldCharType="begin"/>
            </w:r>
            <w:r w:rsidRPr="001C3457">
              <w:rPr>
                <w:noProof/>
                <w:sz w:val="28"/>
                <w:szCs w:val="28"/>
              </w:rPr>
              <w:instrText xml:space="preserve"> PAGEREF _Toc240100271 \h </w:instrText>
            </w:r>
            <w:r w:rsidRPr="001C3457">
              <w:rPr>
                <w:noProof/>
                <w:sz w:val="28"/>
                <w:szCs w:val="28"/>
              </w:rPr>
            </w:r>
            <w:r w:rsidRPr="001C3457">
              <w:rPr>
                <w:noProof/>
                <w:sz w:val="28"/>
                <w:szCs w:val="28"/>
              </w:rPr>
              <w:fldChar w:fldCharType="separate"/>
            </w:r>
            <w:r w:rsidRPr="001C3457">
              <w:rPr>
                <w:noProof/>
                <w:sz w:val="28"/>
                <w:szCs w:val="28"/>
              </w:rPr>
              <w:t>10</w:t>
            </w:r>
            <w:r w:rsidRPr="001C3457">
              <w:rPr>
                <w:noProof/>
                <w:sz w:val="28"/>
                <w:szCs w:val="28"/>
              </w:rPr>
              <w:fldChar w:fldCharType="end"/>
            </w:r>
          </w:hyperlink>
        </w:p>
        <w:p w:rsidR="00C1316A" w:rsidRPr="001C3457" w:rsidRDefault="00045BFC">
          <w:pPr>
            <w:rPr>
              <w:sz w:val="28"/>
              <w:szCs w:val="28"/>
            </w:rPr>
          </w:pPr>
          <w:r w:rsidRPr="001C3457">
            <w:rPr>
              <w:sz w:val="28"/>
              <w:szCs w:val="28"/>
            </w:rPr>
            <w:fldChar w:fldCharType="end"/>
          </w:r>
        </w:p>
      </w:sdtContent>
    </w:sdt>
    <w:p w:rsidR="00C1316A" w:rsidRDefault="00045BFC">
      <w:r>
        <w:br w:type="page"/>
      </w:r>
    </w:p>
    <w:p w:rsidR="00C1316A" w:rsidRPr="001C3457" w:rsidRDefault="00045BFC">
      <w:pPr>
        <w:pStyle w:val="Heading1"/>
        <w:rPr>
          <w:sz w:val="32"/>
          <w:szCs w:val="32"/>
        </w:rPr>
      </w:pPr>
      <w:bookmarkStart w:id="2" w:name="_Toc240100253"/>
      <w:r w:rsidRPr="001C3457">
        <w:rPr>
          <w:sz w:val="32"/>
          <w:szCs w:val="32"/>
        </w:rPr>
        <w:lastRenderedPageBreak/>
        <w:t>1. Executive Summary</w:t>
      </w:r>
      <w:bookmarkEnd w:id="2"/>
    </w:p>
    <w:p w:rsidR="00C1316A" w:rsidRPr="001C3457" w:rsidRDefault="00045BFC">
      <w:pPr>
        <w:spacing w:after="160" w:line="276" w:lineRule="auto"/>
        <w:rPr>
          <w:sz w:val="28"/>
          <w:szCs w:val="28"/>
        </w:rPr>
      </w:pPr>
      <w:r w:rsidRPr="001C3457">
        <w:rPr>
          <w:sz w:val="28"/>
          <w:szCs w:val="28"/>
        </w:rPr>
        <w:t xml:space="preserve">This report performs exploratory data analysis on 440,817 cleaned </w:t>
      </w:r>
      <w:proofErr w:type="spellStart"/>
      <w:r w:rsidRPr="001C3457">
        <w:rPr>
          <w:sz w:val="28"/>
          <w:szCs w:val="28"/>
        </w:rPr>
        <w:t>Aadhaar</w:t>
      </w:r>
      <w:proofErr w:type="spellEnd"/>
      <w:r w:rsidRPr="001C3457">
        <w:rPr>
          <w:sz w:val="28"/>
          <w:szCs w:val="28"/>
        </w:rPr>
        <w:t xml:space="preserve">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records published by UIDAI (Government of India) — the same dataset collected and cleaned in the Week 2 </w:t>
      </w:r>
      <w:proofErr w:type="gramStart"/>
      <w:r w:rsidRPr="001C3457">
        <w:rPr>
          <w:sz w:val="28"/>
          <w:szCs w:val="28"/>
        </w:rPr>
        <w:t>task</w:t>
      </w:r>
      <w:proofErr w:type="gramEnd"/>
      <w:r w:rsidRPr="001C3457">
        <w:rPr>
          <w:sz w:val="28"/>
          <w:szCs w:val="28"/>
        </w:rPr>
        <w:t>. Six visualizations were built to surface trends, correlations</w:t>
      </w:r>
      <w:r w:rsidRPr="001C3457">
        <w:rPr>
          <w:sz w:val="28"/>
          <w:szCs w:val="28"/>
        </w:rPr>
        <w:t xml:space="preserve">, and anomalies in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rejection, demographic patterns, and geographic variation. Four hypotheses were formulated and tested against the data, with results reported honestly whether they were supported or not — including two hypotheses that were NOT</w:t>
      </w:r>
      <w:r w:rsidRPr="001C3457">
        <w:rPr>
          <w:sz w:val="28"/>
          <w:szCs w:val="28"/>
        </w:rPr>
        <w:t xml:space="preserve"> supported, which is itself a meaningful finding rather than an inconvenient one to omit.</w:t>
      </w:r>
    </w:p>
    <w:p w:rsidR="00C1316A" w:rsidRPr="001C3457" w:rsidRDefault="00045BFC">
      <w:pPr>
        <w:spacing w:after="160" w:line="276" w:lineRule="auto"/>
        <w:rPr>
          <w:sz w:val="28"/>
          <w:szCs w:val="28"/>
        </w:rPr>
      </w:pPr>
      <w:r w:rsidRPr="001C3457">
        <w:rPr>
          <w:sz w:val="28"/>
          <w:szCs w:val="28"/>
        </w:rPr>
        <w:t>Headline result: rejection is not random — it concentrates heavily among the 0-5 age group (6.92% vs. 2.73%-3.38% for working-age adults), most plausibly reflecting k</w:t>
      </w:r>
      <w:r w:rsidRPr="001C3457">
        <w:rPr>
          <w:sz w:val="28"/>
          <w:szCs w:val="28"/>
        </w:rPr>
        <w:t>nown biometric-capture difficulty in early childhood. In contrast, a hypothesised link between a state's digital-engagement level (mobile capture rate) and its rejection rate was tested and found statistically insignificant (r = 0.27, p = 0.11).</w:t>
      </w:r>
    </w:p>
    <w:p w:rsidR="00C1316A" w:rsidRPr="001C3457" w:rsidRDefault="00045BFC">
      <w:pPr>
        <w:pStyle w:val="Heading1"/>
        <w:rPr>
          <w:sz w:val="32"/>
          <w:szCs w:val="32"/>
        </w:rPr>
      </w:pPr>
      <w:bookmarkStart w:id="3" w:name="_Toc240100254"/>
      <w:r w:rsidRPr="001C3457">
        <w:rPr>
          <w:sz w:val="32"/>
          <w:szCs w:val="32"/>
        </w:rPr>
        <w:t>2. Objecti</w:t>
      </w:r>
      <w:r w:rsidRPr="001C3457">
        <w:rPr>
          <w:sz w:val="32"/>
          <w:szCs w:val="32"/>
        </w:rPr>
        <w:t>ve and Scope</w:t>
      </w:r>
      <w:bookmarkEnd w:id="3"/>
    </w:p>
    <w:p w:rsidR="00C1316A" w:rsidRPr="001C3457" w:rsidRDefault="00045BFC">
      <w:pPr>
        <w:spacing w:after="160" w:line="276" w:lineRule="auto"/>
        <w:rPr>
          <w:sz w:val="28"/>
          <w:szCs w:val="28"/>
        </w:rPr>
      </w:pPr>
      <w:r w:rsidRPr="001C3457">
        <w:rPr>
          <w:sz w:val="28"/>
          <w:szCs w:val="28"/>
        </w:rPr>
        <w:t xml:space="preserve">The objective is to perform a systematic EDA on a single publicly available e-governance dataset, using visualization to uncover trends, correlations, and anomalies, and to discuss what these reveal about the performance and efficiency of the </w:t>
      </w:r>
      <w:r w:rsidRPr="001C3457">
        <w:rPr>
          <w:sz w:val="28"/>
          <w:szCs w:val="28"/>
        </w:rPr>
        <w:t xml:space="preserve">underlying digital service — India's </w:t>
      </w:r>
      <w:proofErr w:type="spellStart"/>
      <w:r w:rsidRPr="001C3457">
        <w:rPr>
          <w:sz w:val="28"/>
          <w:szCs w:val="28"/>
        </w:rPr>
        <w:t>Aadhaar</w:t>
      </w:r>
      <w:proofErr w:type="spellEnd"/>
      <w:r w:rsidRPr="001C3457">
        <w:rPr>
          <w:sz w:val="28"/>
          <w:szCs w:val="28"/>
        </w:rPr>
        <w:t xml:space="preserve">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process.</w:t>
      </w:r>
    </w:p>
    <w:p w:rsidR="00C1316A" w:rsidRPr="001C3457" w:rsidRDefault="00045BFC">
      <w:pPr>
        <w:pStyle w:val="Heading1"/>
        <w:rPr>
          <w:sz w:val="32"/>
          <w:szCs w:val="32"/>
        </w:rPr>
      </w:pPr>
      <w:bookmarkStart w:id="4" w:name="_Toc240100255"/>
      <w:r w:rsidRPr="001C3457">
        <w:rPr>
          <w:sz w:val="32"/>
          <w:szCs w:val="32"/>
        </w:rPr>
        <w:t>3. Data Selection</w:t>
      </w:r>
      <w:bookmarkEnd w:id="4"/>
    </w:p>
    <w:p w:rsidR="00C1316A" w:rsidRPr="001C3457" w:rsidRDefault="00045BFC">
      <w:pPr>
        <w:pStyle w:val="Heading2"/>
        <w:rPr>
          <w:sz w:val="32"/>
          <w:szCs w:val="32"/>
        </w:rPr>
      </w:pPr>
      <w:bookmarkStart w:id="5" w:name="_Toc240100256"/>
      <w:r w:rsidRPr="001C3457">
        <w:rPr>
          <w:sz w:val="32"/>
          <w:szCs w:val="32"/>
        </w:rPr>
        <w:t>3.1 Dataset and Rationale</w:t>
      </w:r>
      <w:bookmarkEnd w:id="5"/>
    </w:p>
    <w:p w:rsidR="00C1316A" w:rsidRPr="001C3457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1C3457">
        <w:rPr>
          <w:sz w:val="28"/>
          <w:szCs w:val="28"/>
        </w:rPr>
        <w:t xml:space="preserve">Dataset: UIDAI </w:t>
      </w:r>
      <w:proofErr w:type="spellStart"/>
      <w:r w:rsidRPr="001C3457">
        <w:rPr>
          <w:sz w:val="28"/>
          <w:szCs w:val="28"/>
        </w:rPr>
        <w:t>Aadhaar</w:t>
      </w:r>
      <w:proofErr w:type="spellEnd"/>
      <w:r w:rsidRPr="001C3457">
        <w:rPr>
          <w:sz w:val="28"/>
          <w:szCs w:val="28"/>
        </w:rPr>
        <w:t xml:space="preserve">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records (440,818 raw rows, 440,817 after cleaning in Week 2) — the same dataset used in the Week 1 and Week 2 tas</w:t>
      </w:r>
      <w:r w:rsidRPr="001C3457">
        <w:rPr>
          <w:sz w:val="28"/>
          <w:szCs w:val="28"/>
        </w:rPr>
        <w:t>ks, allowing this EDA to build directly on already-validated, cleaned data rather than re-collecting from scratch.</w:t>
      </w:r>
    </w:p>
    <w:p w:rsidR="00C1316A" w:rsidRPr="001C3457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1C3457">
        <w:rPr>
          <w:sz w:val="28"/>
          <w:szCs w:val="28"/>
        </w:rPr>
        <w:t xml:space="preserve">Rationale: </w:t>
      </w:r>
      <w:proofErr w:type="spellStart"/>
      <w:r w:rsidRPr="001C3457">
        <w:rPr>
          <w:sz w:val="28"/>
          <w:szCs w:val="28"/>
        </w:rPr>
        <w:t>Aadhaar</w:t>
      </w:r>
      <w:proofErr w:type="spellEnd"/>
      <w:r w:rsidRPr="001C3457">
        <w:rPr>
          <w:sz w:val="28"/>
          <w:szCs w:val="28"/>
        </w:rPr>
        <w:t xml:space="preserve"> is the foundational identity layer of India's digital governance stack — nearly every other digital service (</w:t>
      </w:r>
      <w:proofErr w:type="spellStart"/>
      <w:r w:rsidRPr="001C3457">
        <w:rPr>
          <w:sz w:val="28"/>
          <w:szCs w:val="28"/>
        </w:rPr>
        <w:t>DigiLocker</w:t>
      </w:r>
      <w:proofErr w:type="spellEnd"/>
      <w:r w:rsidRPr="001C3457">
        <w:rPr>
          <w:sz w:val="28"/>
          <w:szCs w:val="28"/>
        </w:rPr>
        <w:t>, U</w:t>
      </w:r>
      <w:r w:rsidRPr="001C3457">
        <w:rPr>
          <w:sz w:val="28"/>
          <w:szCs w:val="28"/>
        </w:rPr>
        <w:t xml:space="preserve">MANG, direct benefit transfer, e-KYC) depends on a successful </w:t>
      </w:r>
      <w:proofErr w:type="spellStart"/>
      <w:r w:rsidRPr="001C3457">
        <w:rPr>
          <w:sz w:val="28"/>
          <w:szCs w:val="28"/>
        </w:rPr>
        <w:t>Aadhaar</w:t>
      </w:r>
      <w:proofErr w:type="spellEnd"/>
      <w:r w:rsidRPr="001C3457">
        <w:rPr>
          <w:sz w:val="28"/>
          <w:szCs w:val="28"/>
        </w:rPr>
        <w:t xml:space="preserve">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.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rejection is therefore a direct, measurable proxy for service-delivery friction at the base of the stack.</w:t>
      </w:r>
    </w:p>
    <w:p w:rsidR="001C3457" w:rsidRDefault="001C3457" w:rsidP="001C3457">
      <w:pPr>
        <w:pStyle w:val="Heading2"/>
        <w:tabs>
          <w:tab w:val="left" w:pos="2124"/>
        </w:tabs>
        <w:rPr>
          <w:sz w:val="28"/>
          <w:szCs w:val="28"/>
        </w:rPr>
      </w:pPr>
      <w:bookmarkStart w:id="6" w:name="_Toc240100257"/>
    </w:p>
    <w:p w:rsidR="00C1316A" w:rsidRPr="001C3457" w:rsidRDefault="00045BFC" w:rsidP="001C3457">
      <w:pPr>
        <w:pStyle w:val="Heading2"/>
        <w:tabs>
          <w:tab w:val="left" w:pos="2124"/>
        </w:tabs>
        <w:rPr>
          <w:sz w:val="28"/>
          <w:szCs w:val="28"/>
        </w:rPr>
      </w:pPr>
      <w:r w:rsidRPr="001C3457">
        <w:rPr>
          <w:sz w:val="28"/>
          <w:szCs w:val="28"/>
        </w:rPr>
        <w:lastRenderedPageBreak/>
        <w:t>3.2 Assumptions</w:t>
      </w:r>
      <w:bookmarkEnd w:id="6"/>
      <w:r w:rsidR="001C3457" w:rsidRPr="001C3457">
        <w:rPr>
          <w:sz w:val="28"/>
          <w:szCs w:val="28"/>
        </w:rPr>
        <w:tab/>
      </w:r>
    </w:p>
    <w:p w:rsidR="00C1316A" w:rsidRPr="001C3457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1C3457">
        <w:rPr>
          <w:sz w:val="28"/>
          <w:szCs w:val="28"/>
        </w:rPr>
        <w:t>Each row represents an aggregate count (</w:t>
      </w:r>
      <w:proofErr w:type="spellStart"/>
      <w:r w:rsidRPr="001C3457">
        <w:rPr>
          <w:sz w:val="28"/>
          <w:szCs w:val="28"/>
        </w:rPr>
        <w:t>A</w:t>
      </w:r>
      <w:r w:rsidRPr="001C3457">
        <w:rPr>
          <w:sz w:val="28"/>
          <w:szCs w:val="28"/>
        </w:rPr>
        <w:t>adhaar</w:t>
      </w:r>
      <w:proofErr w:type="spellEnd"/>
      <w:r w:rsidRPr="001C3457">
        <w:rPr>
          <w:sz w:val="28"/>
          <w:szCs w:val="28"/>
        </w:rPr>
        <w:t xml:space="preserve"> Generated / Enrolment Rejected) for a specific Registrar ×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Agency × Location × Gender × Age combination, not a single individual — this shapes what kind of claims the EDA can responsibly make (see Section 8).</w:t>
      </w:r>
    </w:p>
    <w:p w:rsidR="00C1316A" w:rsidRPr="001C3457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1C3457">
        <w:rPr>
          <w:sz w:val="28"/>
          <w:szCs w:val="28"/>
        </w:rPr>
        <w:t>The 1 row with an implausible</w:t>
      </w:r>
      <w:r w:rsidRPr="001C3457">
        <w:rPr>
          <w:sz w:val="28"/>
          <w:szCs w:val="28"/>
        </w:rPr>
        <w:t xml:space="preserve"> age (118) identified and removed during Week 2 cleaning remains excluded here for consistency.</w:t>
      </w:r>
    </w:p>
    <w:p w:rsidR="00C1316A" w:rsidRPr="001C3457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1C3457">
        <w:rPr>
          <w:sz w:val="28"/>
          <w:szCs w:val="28"/>
        </w:rPr>
        <w:t xml:space="preserve">"Rejection rate" is defined throughout as </w:t>
      </w:r>
      <w:proofErr w:type="spellStart"/>
      <w:r w:rsidRPr="001C3457">
        <w:rPr>
          <w:sz w:val="28"/>
          <w:szCs w:val="28"/>
        </w:rPr>
        <w:t>EnrolmentRejected</w:t>
      </w:r>
      <w:proofErr w:type="spellEnd"/>
      <w:r w:rsidRPr="001C3457">
        <w:rPr>
          <w:sz w:val="28"/>
          <w:szCs w:val="28"/>
        </w:rPr>
        <w:t xml:space="preserve"> ÷ (</w:t>
      </w:r>
      <w:proofErr w:type="spellStart"/>
      <w:r w:rsidRPr="001C3457">
        <w:rPr>
          <w:sz w:val="28"/>
          <w:szCs w:val="28"/>
        </w:rPr>
        <w:t>AadhaarGenerated</w:t>
      </w:r>
      <w:proofErr w:type="spellEnd"/>
      <w:r w:rsidRPr="001C3457">
        <w:rPr>
          <w:sz w:val="28"/>
          <w:szCs w:val="28"/>
        </w:rPr>
        <w:t xml:space="preserve"> + </w:t>
      </w:r>
      <w:proofErr w:type="spellStart"/>
      <w:r w:rsidRPr="001C3457">
        <w:rPr>
          <w:sz w:val="28"/>
          <w:szCs w:val="28"/>
        </w:rPr>
        <w:t>EnrolmentRejected</w:t>
      </w:r>
      <w:proofErr w:type="spellEnd"/>
      <w:r w:rsidRPr="001C3457">
        <w:rPr>
          <w:sz w:val="28"/>
          <w:szCs w:val="28"/>
        </w:rPr>
        <w:t>) for the relevant grouping.</w:t>
      </w:r>
    </w:p>
    <w:p w:rsidR="00C1316A" w:rsidRPr="001C3457" w:rsidRDefault="00045BFC">
      <w:pPr>
        <w:pStyle w:val="Heading1"/>
        <w:rPr>
          <w:sz w:val="32"/>
          <w:szCs w:val="32"/>
        </w:rPr>
      </w:pPr>
      <w:bookmarkStart w:id="7" w:name="_Toc240100258"/>
      <w:r w:rsidRPr="001C3457">
        <w:rPr>
          <w:sz w:val="32"/>
          <w:szCs w:val="32"/>
        </w:rPr>
        <w:t>4. Initial Analysis</w:t>
      </w:r>
      <w:bookmarkEnd w:id="7"/>
    </w:p>
    <w:p w:rsidR="00C1316A" w:rsidRPr="001C3457" w:rsidRDefault="00045BFC">
      <w:pPr>
        <w:pStyle w:val="Heading2"/>
        <w:rPr>
          <w:sz w:val="32"/>
          <w:szCs w:val="32"/>
        </w:rPr>
      </w:pPr>
      <w:bookmarkStart w:id="8" w:name="_Toc240100259"/>
      <w:r w:rsidRPr="001C3457">
        <w:rPr>
          <w:sz w:val="32"/>
          <w:szCs w:val="32"/>
        </w:rPr>
        <w:t>4.1 Descriptive Statistics</w:t>
      </w:r>
      <w:bookmarkEnd w:id="8"/>
    </w:p>
    <w:tbl>
      <w:tblPr>
        <w:tblW w:w="9927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46"/>
        <w:gridCol w:w="1584"/>
        <w:gridCol w:w="1584"/>
        <w:gridCol w:w="1584"/>
        <w:gridCol w:w="2429"/>
      </w:tblGrid>
      <w:tr w:rsidR="00C1316A" w:rsidTr="001C3457">
        <w:tblPrEx>
          <w:tblCellMar>
            <w:top w:w="0" w:type="dxa"/>
            <w:bottom w:w="0" w:type="dxa"/>
          </w:tblCellMar>
        </w:tblPrEx>
        <w:trPr>
          <w:cantSplit/>
          <w:trHeight w:val="256"/>
          <w:tblHeader/>
        </w:trPr>
        <w:tc>
          <w:tcPr>
            <w:tcW w:w="2746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t>Field</w:t>
            </w:r>
          </w:p>
        </w:tc>
        <w:tc>
          <w:tcPr>
            <w:tcW w:w="158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t>Mean</w:t>
            </w:r>
          </w:p>
        </w:tc>
        <w:tc>
          <w:tcPr>
            <w:tcW w:w="158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t>Median</w:t>
            </w:r>
          </w:p>
        </w:tc>
        <w:tc>
          <w:tcPr>
            <w:tcW w:w="1584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t>Std. Dev.</w:t>
            </w:r>
          </w:p>
        </w:tc>
        <w:tc>
          <w:tcPr>
            <w:tcW w:w="242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t>Notes</w:t>
            </w:r>
          </w:p>
        </w:tc>
      </w:tr>
      <w:tr w:rsidR="00C1316A" w:rsidTr="001C3457">
        <w:tblPrEx>
          <w:tblCellMar>
            <w:top w:w="0" w:type="dxa"/>
            <w:bottom w:w="0" w:type="dxa"/>
          </w:tblCellMar>
        </w:tblPrEx>
        <w:trPr>
          <w:cantSplit/>
          <w:trHeight w:val="500"/>
        </w:trPr>
        <w:tc>
          <w:tcPr>
            <w:tcW w:w="27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Age (years)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19.70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13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18.69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 xml:space="preserve">Right-skewed, </w:t>
            </w:r>
            <w:proofErr w:type="spellStart"/>
            <w:r w:rsidRPr="001C3457">
              <w:rPr>
                <w:color w:val="000000"/>
                <w:sz w:val="24"/>
                <w:szCs w:val="24"/>
              </w:rPr>
              <w:t>skewness</w:t>
            </w:r>
            <w:proofErr w:type="spellEnd"/>
            <w:r w:rsidRPr="001C3457">
              <w:rPr>
                <w:color w:val="000000"/>
                <w:sz w:val="24"/>
                <w:szCs w:val="24"/>
              </w:rPr>
              <w:t xml:space="preserve"> = 1.15</w:t>
            </w:r>
          </w:p>
        </w:tc>
      </w:tr>
      <w:tr w:rsidR="00C1316A" w:rsidTr="001C3457">
        <w:tblPrEx>
          <w:tblCellMar>
            <w:top w:w="0" w:type="dxa"/>
            <w:bottom w:w="0" w:type="dxa"/>
          </w:tblCellMar>
        </w:tblPrEx>
        <w:trPr>
          <w:cantSplit/>
          <w:trHeight w:val="744"/>
        </w:trPr>
        <w:tc>
          <w:tcPr>
            <w:tcW w:w="27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proofErr w:type="spellStart"/>
            <w:r w:rsidRPr="001C3457">
              <w:rPr>
                <w:color w:val="000000"/>
                <w:sz w:val="24"/>
                <w:szCs w:val="24"/>
              </w:rPr>
              <w:t>Aadhaar</w:t>
            </w:r>
            <w:proofErr w:type="spellEnd"/>
            <w:r w:rsidRPr="001C3457">
              <w:rPr>
                <w:color w:val="000000"/>
                <w:sz w:val="24"/>
                <w:szCs w:val="24"/>
              </w:rPr>
              <w:t xml:space="preserve"> Generated (per record)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1.60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1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1.83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Most records represent single or small-batch enrolments</w:t>
            </w:r>
          </w:p>
        </w:tc>
      </w:tr>
      <w:tr w:rsidR="00C1316A" w:rsidTr="001C3457">
        <w:tblPrEx>
          <w:tblCellMar>
            <w:top w:w="0" w:type="dxa"/>
            <w:bottom w:w="0" w:type="dxa"/>
          </w:tblCellMar>
        </w:tblPrEx>
        <w:trPr>
          <w:cantSplit/>
          <w:trHeight w:val="744"/>
        </w:trPr>
        <w:tc>
          <w:tcPr>
            <w:tcW w:w="274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Enrolment Rejected (per record)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0.088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0</w:t>
            </w:r>
          </w:p>
        </w:tc>
        <w:tc>
          <w:tcPr>
            <w:tcW w:w="15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0.42</w:t>
            </w:r>
          </w:p>
        </w:tc>
        <w:tc>
          <w:tcPr>
            <w:tcW w:w="242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Rejections are the minority outcome, as expected</w:t>
            </w:r>
          </w:p>
        </w:tc>
      </w:tr>
    </w:tbl>
    <w:p w:rsidR="00C1316A" w:rsidRDefault="00C1316A">
      <w:pPr>
        <w:spacing w:after="200"/>
      </w:pPr>
    </w:p>
    <w:p w:rsidR="00C1316A" w:rsidRPr="001C3457" w:rsidRDefault="00045BFC">
      <w:pPr>
        <w:spacing w:after="160" w:line="276" w:lineRule="auto"/>
        <w:rPr>
          <w:sz w:val="28"/>
          <w:szCs w:val="28"/>
        </w:rPr>
      </w:pPr>
      <w:r w:rsidRPr="001C3457">
        <w:rPr>
          <w:sz w:val="28"/>
          <w:szCs w:val="28"/>
        </w:rPr>
        <w:t>The Age field is notably right-skewed (</w:t>
      </w:r>
      <w:proofErr w:type="spellStart"/>
      <w:r w:rsidRPr="001C3457">
        <w:rPr>
          <w:sz w:val="28"/>
          <w:szCs w:val="28"/>
        </w:rPr>
        <w:t>skewness</w:t>
      </w:r>
      <w:proofErr w:type="spellEnd"/>
      <w:r w:rsidRPr="001C3457">
        <w:rPr>
          <w:sz w:val="28"/>
          <w:szCs w:val="28"/>
        </w:rPr>
        <w:t xml:space="preserve"> = 1.15) with a mean of 19.7 years but a median of only 13 — meaning half of all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records involve residents aged 13 or younger. This immediately suggested child </w:t>
      </w:r>
      <w:proofErr w:type="spellStart"/>
      <w:r w:rsidRPr="001C3457">
        <w:rPr>
          <w:sz w:val="28"/>
          <w:szCs w:val="28"/>
        </w:rPr>
        <w:t>Aadhaar</w:t>
      </w:r>
      <w:proofErr w:type="spellEnd"/>
      <w:r w:rsidRPr="001C3457">
        <w:rPr>
          <w:sz w:val="28"/>
          <w:szCs w:val="28"/>
        </w:rPr>
        <w:t xml:space="preserve"> </w:t>
      </w:r>
      <w:proofErr w:type="spellStart"/>
      <w:r w:rsidRPr="001C3457">
        <w:rPr>
          <w:sz w:val="28"/>
          <w:szCs w:val="28"/>
        </w:rPr>
        <w:t>enrollment</w:t>
      </w:r>
      <w:proofErr w:type="spellEnd"/>
      <w:r w:rsidRPr="001C3457">
        <w:rPr>
          <w:sz w:val="28"/>
          <w:szCs w:val="28"/>
        </w:rPr>
        <w:t xml:space="preserve"> (a UIDAI priority p</w:t>
      </w:r>
      <w:r w:rsidRPr="001C3457">
        <w:rPr>
          <w:sz w:val="28"/>
          <w:szCs w:val="28"/>
        </w:rPr>
        <w:t>rogramme) as a major share of activity in this dataset, motivating Hypothesis H1 below.</w:t>
      </w:r>
    </w:p>
    <w:p w:rsidR="00C1316A" w:rsidRPr="001C3457" w:rsidRDefault="00045BFC">
      <w:pPr>
        <w:pStyle w:val="Heading2"/>
        <w:rPr>
          <w:sz w:val="32"/>
          <w:szCs w:val="32"/>
        </w:rPr>
      </w:pPr>
      <w:bookmarkStart w:id="9" w:name="_Toc240100260"/>
      <w:r w:rsidRPr="001C3457">
        <w:rPr>
          <w:sz w:val="32"/>
          <w:szCs w:val="32"/>
        </w:rPr>
        <w:t>4.2 Hypothesis Formulation</w:t>
      </w:r>
      <w:bookmarkEnd w:id="9"/>
    </w:p>
    <w:p w:rsidR="00C1316A" w:rsidRDefault="00045BFC">
      <w:pPr>
        <w:spacing w:after="160" w:line="276" w:lineRule="auto"/>
        <w:rPr>
          <w:sz w:val="28"/>
          <w:szCs w:val="28"/>
        </w:rPr>
      </w:pPr>
      <w:r w:rsidRPr="001C3457">
        <w:rPr>
          <w:sz w:val="28"/>
          <w:szCs w:val="28"/>
        </w:rPr>
        <w:t>Four hypotheses were formed from the initial descriptive pass, then tested with the appropriate statistical technique for each — Pearson corr</w:t>
      </w:r>
      <w:r w:rsidRPr="001C3457">
        <w:rPr>
          <w:sz w:val="28"/>
          <w:szCs w:val="28"/>
        </w:rPr>
        <w:t>elation for continuous relationships, and group-wise rate comparison for categorical splits:</w:t>
      </w:r>
    </w:p>
    <w:p w:rsidR="001C3457" w:rsidRPr="001C3457" w:rsidRDefault="001C3457">
      <w:pPr>
        <w:spacing w:after="160" w:line="276" w:lineRule="auto"/>
        <w:rPr>
          <w:sz w:val="28"/>
          <w:szCs w:val="28"/>
        </w:rPr>
      </w:pPr>
    </w:p>
    <w:tbl>
      <w:tblPr>
        <w:tblW w:w="1018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99"/>
        <w:gridCol w:w="3682"/>
        <w:gridCol w:w="2599"/>
      </w:tblGrid>
      <w:tr w:rsidR="00C1316A" w:rsidRPr="001C3457" w:rsidTr="001C3457">
        <w:tblPrEx>
          <w:tblCellMar>
            <w:top w:w="0" w:type="dxa"/>
            <w:bottom w:w="0" w:type="dxa"/>
          </w:tblCellMar>
        </w:tblPrEx>
        <w:trPr>
          <w:cantSplit/>
          <w:trHeight w:val="353"/>
          <w:tblHeader/>
        </w:trPr>
        <w:tc>
          <w:tcPr>
            <w:tcW w:w="389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lastRenderedPageBreak/>
              <w:t>Hypothesis</w:t>
            </w:r>
          </w:p>
        </w:tc>
        <w:tc>
          <w:tcPr>
            <w:tcW w:w="3682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t>Test Applied</w:t>
            </w:r>
          </w:p>
        </w:tc>
        <w:tc>
          <w:tcPr>
            <w:tcW w:w="2599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b/>
                <w:bCs/>
                <w:color w:val="FFFFFF"/>
                <w:sz w:val="24"/>
                <w:szCs w:val="24"/>
              </w:rPr>
              <w:t>Result</w:t>
            </w:r>
          </w:p>
        </w:tc>
      </w:tr>
      <w:tr w:rsidR="00C1316A" w:rsidRPr="001C3457" w:rsidTr="001C3457">
        <w:tblPrEx>
          <w:tblCellMar>
            <w:top w:w="0" w:type="dxa"/>
            <w:bottom w:w="0" w:type="dxa"/>
          </w:tblCellMar>
        </w:tblPrEx>
        <w:trPr>
          <w:cantSplit/>
          <w:trHeight w:val="1729"/>
        </w:trPr>
        <w:tc>
          <w:tcPr>
            <w:tcW w:w="38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H1: Rejection rate varies meaningfully by age group, with young children most affected (biometric immaturity)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 xml:space="preserve">Group-wise rejection </w:t>
            </w:r>
            <w:r w:rsidRPr="001C3457">
              <w:rPr>
                <w:color w:val="000000"/>
                <w:sz w:val="24"/>
                <w:szCs w:val="24"/>
              </w:rPr>
              <w:t>rate comparison across 7 age bands</w:t>
            </w:r>
          </w:p>
        </w:tc>
        <w:tc>
          <w:tcPr>
            <w:tcW w:w="25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Supported — 0-5 age group: 6.92% vs. 2.73%-3.38% for adult bands</w:t>
            </w:r>
          </w:p>
        </w:tc>
      </w:tr>
      <w:tr w:rsidR="00C1316A" w:rsidTr="001C3457">
        <w:tblPrEx>
          <w:tblCellMar>
            <w:top w:w="0" w:type="dxa"/>
            <w:bottom w:w="0" w:type="dxa"/>
          </w:tblCellMar>
        </w:tblPrEx>
        <w:trPr>
          <w:cantSplit/>
          <w:trHeight w:val="998"/>
        </w:trPr>
        <w:tc>
          <w:tcPr>
            <w:tcW w:w="38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H2: States with higher mobile-number capture (a proxy for digital engagement) show lower rejection rates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Pearson correlation, state-level (n=37)</w:t>
            </w:r>
          </w:p>
        </w:tc>
        <w:tc>
          <w:tcPr>
            <w:tcW w:w="25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Not supported — r = 0.27, p = 0.11 (not significant; weak positive, opposite of hypothesised direction)</w:t>
            </w:r>
          </w:p>
        </w:tc>
      </w:tr>
      <w:tr w:rsidR="00C1316A" w:rsidTr="001C3457">
        <w:tblPrEx>
          <w:tblCellMar>
            <w:top w:w="0" w:type="dxa"/>
            <w:bottom w:w="0" w:type="dxa"/>
          </w:tblCellMar>
        </w:tblPrEx>
        <w:trPr>
          <w:cantSplit/>
          <w:trHeight w:val="1485"/>
        </w:trPr>
        <w:tc>
          <w:tcPr>
            <w:tcW w:w="38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H3: Rejection rate differs by gender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Group-wise rejection rate comparison (Male/Female; Transgender excluded from claims, n too small)</w:t>
            </w:r>
          </w:p>
        </w:tc>
        <w:tc>
          <w:tcPr>
            <w:tcW w:w="25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Weakly supported</w:t>
            </w:r>
            <w:r w:rsidRPr="001C3457">
              <w:rPr>
                <w:color w:val="000000"/>
                <w:sz w:val="24"/>
                <w:szCs w:val="24"/>
              </w:rPr>
              <w:t xml:space="preserve"> — Female 5.79% vs. Male 4.85%; gap is modest and not tested for significance due to aggregate (non-individual) data</w:t>
            </w:r>
          </w:p>
        </w:tc>
      </w:tr>
      <w:tr w:rsidR="00C1316A" w:rsidTr="001C3457">
        <w:tblPrEx>
          <w:tblCellMar>
            <w:top w:w="0" w:type="dxa"/>
            <w:bottom w:w="0" w:type="dxa"/>
          </w:tblCellMar>
        </w:tblPrEx>
        <w:trPr>
          <w:cantSplit/>
          <w:trHeight w:val="1242"/>
        </w:trPr>
        <w:tc>
          <w:tcPr>
            <w:tcW w:w="38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H4: Age is linearly correlated with the likelihood of rejection at the individual-record level</w:t>
            </w:r>
          </w:p>
        </w:tc>
        <w:tc>
          <w:tcPr>
            <w:tcW w:w="36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Pearson correlation, row-level (n=440,817)</w:t>
            </w:r>
          </w:p>
        </w:tc>
        <w:tc>
          <w:tcPr>
            <w:tcW w:w="259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1C3457" w:rsidRDefault="00045BFC">
            <w:pPr>
              <w:rPr>
                <w:sz w:val="24"/>
                <w:szCs w:val="24"/>
              </w:rPr>
            </w:pPr>
            <w:r w:rsidRPr="001C3457">
              <w:rPr>
                <w:color w:val="000000"/>
                <w:sz w:val="24"/>
                <w:szCs w:val="24"/>
              </w:rPr>
              <w:t>Not meaningfully supported — r = -0.064 (statistically significant due to large n, but practically negligible)</w:t>
            </w:r>
          </w:p>
        </w:tc>
      </w:tr>
    </w:tbl>
    <w:p w:rsidR="00C1316A" w:rsidRDefault="00C1316A">
      <w:pPr>
        <w:spacing w:after="200"/>
      </w:pPr>
    </w:p>
    <w:p w:rsidR="00C1316A" w:rsidRPr="001C3457" w:rsidRDefault="00045BFC">
      <w:pPr>
        <w:pStyle w:val="Heading1"/>
        <w:rPr>
          <w:sz w:val="32"/>
          <w:szCs w:val="32"/>
        </w:rPr>
      </w:pPr>
      <w:bookmarkStart w:id="10" w:name="_Toc240100261"/>
      <w:r w:rsidRPr="001C3457">
        <w:rPr>
          <w:sz w:val="32"/>
          <w:szCs w:val="32"/>
        </w:rPr>
        <w:t>5. Visualizations</w:t>
      </w:r>
      <w:bookmarkEnd w:id="10"/>
    </w:p>
    <w:p w:rsidR="00C1316A" w:rsidRDefault="00045BFC">
      <w:pPr>
        <w:spacing w:after="160" w:line="276" w:lineRule="auto"/>
        <w:rPr>
          <w:sz w:val="32"/>
          <w:szCs w:val="32"/>
        </w:rPr>
      </w:pPr>
      <w:r w:rsidRPr="001C3457">
        <w:rPr>
          <w:sz w:val="28"/>
          <w:szCs w:val="28"/>
        </w:rPr>
        <w:t>Six distinct visualizations were created using Python (</w:t>
      </w:r>
      <w:proofErr w:type="spellStart"/>
      <w:r w:rsidRPr="001C3457">
        <w:rPr>
          <w:sz w:val="28"/>
          <w:szCs w:val="28"/>
        </w:rPr>
        <w:t>matplotlib</w:t>
      </w:r>
      <w:proofErr w:type="spellEnd"/>
      <w:r w:rsidRPr="001C3457">
        <w:rPr>
          <w:sz w:val="28"/>
          <w:szCs w:val="28"/>
        </w:rPr>
        <w:t xml:space="preserve"> and </w:t>
      </w:r>
      <w:proofErr w:type="spellStart"/>
      <w:r w:rsidRPr="001C3457">
        <w:rPr>
          <w:sz w:val="28"/>
          <w:szCs w:val="28"/>
        </w:rPr>
        <w:t>seaborn</w:t>
      </w:r>
      <w:proofErr w:type="spellEnd"/>
      <w:r w:rsidRPr="001C3457">
        <w:rPr>
          <w:sz w:val="28"/>
          <w:szCs w:val="28"/>
        </w:rPr>
        <w:t>). Each is annotated directly on the chart (statistics, sample-size flags, or trend lines) rather than left for the reader to infer</w:t>
      </w:r>
      <w:r w:rsidRPr="001C3457">
        <w:rPr>
          <w:sz w:val="32"/>
          <w:szCs w:val="32"/>
        </w:rPr>
        <w:t>.</w:t>
      </w:r>
    </w:p>
    <w:p w:rsidR="001C3457" w:rsidRPr="001C3457" w:rsidRDefault="001C3457">
      <w:pPr>
        <w:spacing w:after="160" w:line="276" w:lineRule="auto"/>
        <w:rPr>
          <w:sz w:val="32"/>
          <w:szCs w:val="32"/>
        </w:rPr>
      </w:pPr>
    </w:p>
    <w:p w:rsidR="00C1316A" w:rsidRPr="001C3457" w:rsidRDefault="00045BFC">
      <w:pPr>
        <w:pStyle w:val="Heading2"/>
        <w:rPr>
          <w:sz w:val="32"/>
          <w:szCs w:val="32"/>
        </w:rPr>
      </w:pPr>
      <w:bookmarkStart w:id="11" w:name="_Toc240100262"/>
      <w:r w:rsidRPr="001C3457">
        <w:rPr>
          <w:sz w:val="32"/>
          <w:szCs w:val="32"/>
        </w:rPr>
        <w:t>5.1 Figure 1 — Age Distribution</w:t>
      </w:r>
      <w:bookmarkEnd w:id="11"/>
    </w:p>
    <w:p w:rsidR="00C1316A" w:rsidRPr="001C3457" w:rsidRDefault="00045BFC">
      <w:pPr>
        <w:spacing w:before="120" w:after="80"/>
        <w:jc w:val="center"/>
        <w:rPr>
          <w:sz w:val="28"/>
          <w:szCs w:val="28"/>
        </w:rPr>
      </w:pPr>
      <w:r>
        <w:rPr>
          <w:noProof/>
        </w:rPr>
        <w:lastRenderedPageBreak/>
        <w:drawing>
          <wp:inline distT="0" distB="0" distL="0" distR="0">
            <wp:extent cx="6126480" cy="2994660"/>
            <wp:effectExtent l="38100" t="38100" r="45720" b="342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80" cy="2994660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316A" w:rsidRPr="001C3457" w:rsidRDefault="00045BFC">
      <w:pPr>
        <w:spacing w:after="240"/>
        <w:jc w:val="center"/>
        <w:rPr>
          <w:sz w:val="28"/>
          <w:szCs w:val="28"/>
        </w:rPr>
      </w:pPr>
      <w:r w:rsidRPr="001C3457">
        <w:rPr>
          <w:i/>
          <w:iCs/>
          <w:color w:val="595959"/>
          <w:sz w:val="28"/>
          <w:szCs w:val="28"/>
        </w:rPr>
        <w:t>Figure 1: Hi</w:t>
      </w:r>
      <w:r w:rsidRPr="001C3457">
        <w:rPr>
          <w:i/>
          <w:iCs/>
          <w:color w:val="595959"/>
          <w:sz w:val="28"/>
          <w:szCs w:val="28"/>
        </w:rPr>
        <w:t xml:space="preserve">stogram with KDE overlay of </w:t>
      </w:r>
      <w:proofErr w:type="spellStart"/>
      <w:r w:rsidRPr="001C3457">
        <w:rPr>
          <w:i/>
          <w:iCs/>
          <w:color w:val="595959"/>
          <w:sz w:val="28"/>
          <w:szCs w:val="28"/>
        </w:rPr>
        <w:t>enrollee</w:t>
      </w:r>
      <w:proofErr w:type="spellEnd"/>
      <w:r w:rsidRPr="001C3457">
        <w:rPr>
          <w:i/>
          <w:iCs/>
          <w:color w:val="595959"/>
          <w:sz w:val="28"/>
          <w:szCs w:val="28"/>
        </w:rPr>
        <w:t xml:space="preserve"> age (n=440,817). Mean and median are marked, showing pronounced right skew.</w:t>
      </w:r>
    </w:p>
    <w:p w:rsidR="00C1316A" w:rsidRPr="001C3457" w:rsidRDefault="00045BFC">
      <w:pPr>
        <w:spacing w:after="160" w:line="276" w:lineRule="auto"/>
        <w:rPr>
          <w:sz w:val="28"/>
          <w:szCs w:val="28"/>
        </w:rPr>
      </w:pPr>
      <w:r w:rsidRPr="001C3457">
        <w:rPr>
          <w:sz w:val="28"/>
          <w:szCs w:val="28"/>
        </w:rPr>
        <w:t>This chart reveals the dataset skews heavily toward young ages — a large spike under age 5 and a second bulge around age 20-30. This is consist</w:t>
      </w:r>
      <w:r w:rsidRPr="001C3457">
        <w:rPr>
          <w:sz w:val="28"/>
          <w:szCs w:val="28"/>
        </w:rPr>
        <w:t xml:space="preserve">ent with two known enrolment drivers: child </w:t>
      </w:r>
      <w:proofErr w:type="spellStart"/>
      <w:r w:rsidRPr="001C3457">
        <w:rPr>
          <w:sz w:val="28"/>
          <w:szCs w:val="28"/>
        </w:rPr>
        <w:t>Aadhaar</w:t>
      </w:r>
      <w:proofErr w:type="spellEnd"/>
      <w:r w:rsidRPr="001C3457">
        <w:rPr>
          <w:sz w:val="28"/>
          <w:szCs w:val="28"/>
        </w:rPr>
        <w:t xml:space="preserve"> registration and young-adult first-time enrolment (e.g., for school, banking, or employment KYC).</w:t>
      </w:r>
    </w:p>
    <w:p w:rsidR="00C1316A" w:rsidRPr="002B6368" w:rsidRDefault="00045BFC">
      <w:pPr>
        <w:pStyle w:val="Heading2"/>
        <w:rPr>
          <w:sz w:val="32"/>
          <w:szCs w:val="32"/>
        </w:rPr>
      </w:pPr>
      <w:bookmarkStart w:id="12" w:name="_Toc240100263"/>
      <w:r w:rsidRPr="002B6368">
        <w:rPr>
          <w:sz w:val="32"/>
          <w:szCs w:val="32"/>
        </w:rPr>
        <w:t>5.2 Figure 2 — Rejection Rate by Age Group</w:t>
      </w:r>
      <w:bookmarkEnd w:id="12"/>
    </w:p>
    <w:p w:rsidR="00C1316A" w:rsidRDefault="00045BFC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6347460" cy="3038475"/>
            <wp:effectExtent l="38100" t="38100" r="34290" b="476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47460" cy="3038475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316A" w:rsidRPr="005D4C35" w:rsidRDefault="00045BFC">
      <w:pPr>
        <w:spacing w:after="240"/>
        <w:jc w:val="center"/>
        <w:rPr>
          <w:sz w:val="28"/>
          <w:szCs w:val="28"/>
        </w:rPr>
      </w:pPr>
      <w:r w:rsidRPr="005D4C35">
        <w:rPr>
          <w:i/>
          <w:iCs/>
          <w:color w:val="595959"/>
          <w:sz w:val="28"/>
          <w:szCs w:val="28"/>
        </w:rPr>
        <w:t xml:space="preserve">Figure 2: Rejection rate (%) across seven age bands, highest </w:t>
      </w:r>
      <w:r w:rsidRPr="005D4C35">
        <w:rPr>
          <w:i/>
          <w:iCs/>
          <w:color w:val="595959"/>
          <w:sz w:val="28"/>
          <w:szCs w:val="28"/>
        </w:rPr>
        <w:t>band highlighted in orange.</w:t>
      </w:r>
    </w:p>
    <w:p w:rsidR="00C1316A" w:rsidRPr="005D4C35" w:rsidRDefault="00045BFC">
      <w:pPr>
        <w:spacing w:after="160" w:line="276" w:lineRule="auto"/>
        <w:rPr>
          <w:sz w:val="28"/>
          <w:szCs w:val="28"/>
        </w:rPr>
      </w:pPr>
      <w:r w:rsidRPr="005D4C35">
        <w:rPr>
          <w:sz w:val="28"/>
          <w:szCs w:val="28"/>
        </w:rPr>
        <w:lastRenderedPageBreak/>
        <w:t xml:space="preserve">The 0-5 age group has the highest rejection rate of any band at 6.92% — nearly double the 31-45 </w:t>
      </w:r>
      <w:proofErr w:type="gramStart"/>
      <w:r w:rsidRPr="005D4C35">
        <w:rPr>
          <w:sz w:val="28"/>
          <w:szCs w:val="28"/>
        </w:rPr>
        <w:t>band's</w:t>
      </w:r>
      <w:proofErr w:type="gramEnd"/>
      <w:r w:rsidRPr="005D4C35">
        <w:rPr>
          <w:sz w:val="28"/>
          <w:szCs w:val="28"/>
        </w:rPr>
        <w:t xml:space="preserve"> 2.73%, the lowest of all groups. This matches a well-documented technical constraint: fingerprint and iris biometrics are not</w:t>
      </w:r>
      <w:r w:rsidRPr="005D4C35">
        <w:rPr>
          <w:sz w:val="28"/>
          <w:szCs w:val="28"/>
        </w:rPr>
        <w:t xml:space="preserve"> fully stable in young children, which is precisely why UIDAI requires mandatory biometric updates at ages 5 and 15. The elevated 60+ rejection rate (5.39%) plausibly reflects a different cause — biometric degradation (e.g., worn fingerprints) in elderly r</w:t>
      </w:r>
      <w:r w:rsidRPr="005D4C35">
        <w:rPr>
          <w:sz w:val="28"/>
          <w:szCs w:val="28"/>
        </w:rPr>
        <w:t>esidents — a distinct issue worth flagging for service-design attention.</w:t>
      </w:r>
    </w:p>
    <w:p w:rsidR="00C1316A" w:rsidRPr="005D4C35" w:rsidRDefault="00045BFC">
      <w:pPr>
        <w:pStyle w:val="Heading2"/>
        <w:rPr>
          <w:sz w:val="32"/>
          <w:szCs w:val="32"/>
        </w:rPr>
      </w:pPr>
      <w:bookmarkStart w:id="13" w:name="_Toc240100264"/>
      <w:r w:rsidRPr="005D4C35">
        <w:rPr>
          <w:sz w:val="32"/>
          <w:szCs w:val="32"/>
        </w:rPr>
        <w:t>5.3 Figure 3 — Mobile Capture Rate vs. Rejection Rate (State Level)</w:t>
      </w:r>
      <w:bookmarkEnd w:id="13"/>
    </w:p>
    <w:p w:rsidR="00C1316A" w:rsidRDefault="00045BFC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6377940" cy="3524250"/>
            <wp:effectExtent l="19050" t="19050" r="22860" b="190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7940" cy="352425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316A" w:rsidRPr="005D4C35" w:rsidRDefault="00045BFC">
      <w:pPr>
        <w:spacing w:after="240"/>
        <w:jc w:val="center"/>
        <w:rPr>
          <w:sz w:val="28"/>
          <w:szCs w:val="28"/>
        </w:rPr>
      </w:pPr>
      <w:r w:rsidRPr="005D4C35">
        <w:rPr>
          <w:i/>
          <w:iCs/>
          <w:color w:val="595959"/>
          <w:sz w:val="28"/>
          <w:szCs w:val="28"/>
        </w:rPr>
        <w:t>Figure 3: Each point is one state/UT. Triangle markers and labels flag states with fewer than 100 total enrolments in this dataset, where rate estimates are unreliable.</w:t>
      </w:r>
    </w:p>
    <w:p w:rsidR="00C1316A" w:rsidRPr="005D4C35" w:rsidRDefault="00045BFC">
      <w:pPr>
        <w:spacing w:after="160" w:line="276" w:lineRule="auto"/>
        <w:rPr>
          <w:sz w:val="28"/>
          <w:szCs w:val="28"/>
        </w:rPr>
      </w:pPr>
      <w:r w:rsidRPr="005D4C35">
        <w:rPr>
          <w:sz w:val="28"/>
          <w:szCs w:val="28"/>
        </w:rPr>
        <w:t>Hypothesis H2 proposed that more digitally-engaged states (higher mobile-number capture</w:t>
      </w:r>
      <w:r w:rsidRPr="005D4C35">
        <w:rPr>
          <w:sz w:val="28"/>
          <w:szCs w:val="28"/>
        </w:rPr>
        <w:t>) would show lower rejection, on the theory that better citizen-side digital literacy might reduce data-entry friction. The data does not support this: the correlation is weak and statistically insignificant (r = 0.27, p = 0.11, n = 37). Two of the most ex</w:t>
      </w:r>
      <w:r w:rsidRPr="005D4C35">
        <w:rPr>
          <w:sz w:val="28"/>
          <w:szCs w:val="28"/>
        </w:rPr>
        <w:t>treme points — Lakshadweep (20.0% rejection) and Andaman &amp; Nicobar Islands (28.6% rejection) — sit on total enrolment counts of only 5 and 7 respectively, meaning each represents just 1-2 rejected applications. These are flagged explicitly on the chart rat</w:t>
      </w:r>
      <w:r w:rsidRPr="005D4C35">
        <w:rPr>
          <w:sz w:val="28"/>
          <w:szCs w:val="28"/>
        </w:rPr>
        <w:t>her than treated as evidence of a genuine geographic trend.</w:t>
      </w:r>
    </w:p>
    <w:p w:rsidR="002B6368" w:rsidRPr="005D4C35" w:rsidRDefault="00045BFC">
      <w:pPr>
        <w:pStyle w:val="Heading2"/>
        <w:rPr>
          <w:sz w:val="32"/>
          <w:szCs w:val="32"/>
        </w:rPr>
      </w:pPr>
      <w:bookmarkStart w:id="14" w:name="_Toc240100265"/>
      <w:r w:rsidRPr="005D4C35">
        <w:rPr>
          <w:sz w:val="32"/>
          <w:szCs w:val="32"/>
        </w:rPr>
        <w:lastRenderedPageBreak/>
        <w:t>5.4 Figure 4 — Rejection Rate by Gender</w:t>
      </w:r>
      <w:bookmarkEnd w:id="14"/>
    </w:p>
    <w:p w:rsidR="00C1316A" w:rsidRDefault="00045BFC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6287736" cy="3848100"/>
            <wp:effectExtent l="19050" t="19050" r="18415" b="190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1740" cy="38566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316A" w:rsidRPr="005D4C35" w:rsidRDefault="00045BFC">
      <w:pPr>
        <w:spacing w:after="240"/>
        <w:jc w:val="center"/>
        <w:rPr>
          <w:sz w:val="28"/>
          <w:szCs w:val="28"/>
        </w:rPr>
      </w:pPr>
      <w:r w:rsidRPr="005D4C35">
        <w:rPr>
          <w:i/>
          <w:iCs/>
          <w:color w:val="595959"/>
          <w:sz w:val="28"/>
          <w:szCs w:val="28"/>
        </w:rPr>
        <w:t>Figure 4: Rejection rate by gender, with the underlying sample size (n) annotated on each bar.</w:t>
      </w:r>
    </w:p>
    <w:p w:rsidR="00C1316A" w:rsidRPr="005D4C35" w:rsidRDefault="00045BFC">
      <w:pPr>
        <w:spacing w:after="160" w:line="276" w:lineRule="auto"/>
        <w:rPr>
          <w:sz w:val="28"/>
          <w:szCs w:val="28"/>
        </w:rPr>
      </w:pPr>
      <w:r w:rsidRPr="005D4C35">
        <w:rPr>
          <w:sz w:val="28"/>
          <w:szCs w:val="28"/>
        </w:rPr>
        <w:t>Female enrolment records show a modestly higher rejection r</w:t>
      </w:r>
      <w:r w:rsidRPr="005D4C35">
        <w:rPr>
          <w:sz w:val="28"/>
          <w:szCs w:val="28"/>
        </w:rPr>
        <w:t xml:space="preserve">ate (5.79%) than Male (4.85%). The Transgender category shows 14.29%, but this is based on only 7 total enrolments (1 rejection) — annotated directly on the chart specifically so this figure is not read at face value alongside the other two, which rest on </w:t>
      </w:r>
      <w:r w:rsidRPr="005D4C35">
        <w:rPr>
          <w:sz w:val="28"/>
          <w:szCs w:val="28"/>
        </w:rPr>
        <w:t>samples of</w:t>
      </w:r>
      <w:r>
        <w:t xml:space="preserve"> </w:t>
      </w:r>
      <w:r w:rsidRPr="005D4C35">
        <w:rPr>
          <w:sz w:val="28"/>
          <w:szCs w:val="28"/>
        </w:rPr>
        <w:t>262,967 and 481,540 respectively.</w:t>
      </w:r>
    </w:p>
    <w:p w:rsidR="005D4C35" w:rsidRDefault="005D4C35">
      <w:pPr>
        <w:pStyle w:val="Heading2"/>
        <w:rPr>
          <w:sz w:val="32"/>
          <w:szCs w:val="32"/>
        </w:rPr>
      </w:pPr>
      <w:bookmarkStart w:id="15" w:name="_Toc240100266"/>
    </w:p>
    <w:p w:rsidR="005D4C35" w:rsidRDefault="005D4C35">
      <w:pPr>
        <w:pStyle w:val="Heading2"/>
        <w:rPr>
          <w:sz w:val="32"/>
          <w:szCs w:val="32"/>
        </w:rPr>
      </w:pPr>
    </w:p>
    <w:p w:rsidR="005D4C35" w:rsidRDefault="005D4C35">
      <w:pPr>
        <w:pStyle w:val="Heading2"/>
        <w:rPr>
          <w:sz w:val="32"/>
          <w:szCs w:val="32"/>
        </w:rPr>
      </w:pPr>
    </w:p>
    <w:p w:rsidR="005D4C35" w:rsidRDefault="005D4C35">
      <w:pPr>
        <w:pStyle w:val="Heading2"/>
        <w:rPr>
          <w:sz w:val="32"/>
          <w:szCs w:val="32"/>
        </w:rPr>
      </w:pPr>
    </w:p>
    <w:p w:rsidR="005D4C35" w:rsidRDefault="005D4C35">
      <w:pPr>
        <w:pStyle w:val="Heading2"/>
        <w:rPr>
          <w:sz w:val="32"/>
          <w:szCs w:val="32"/>
        </w:rPr>
      </w:pPr>
    </w:p>
    <w:p w:rsidR="005D4C35" w:rsidRDefault="005D4C35">
      <w:pPr>
        <w:pStyle w:val="Heading2"/>
        <w:rPr>
          <w:sz w:val="32"/>
          <w:szCs w:val="32"/>
        </w:rPr>
      </w:pPr>
    </w:p>
    <w:p w:rsidR="005D4C35" w:rsidRDefault="005D4C35">
      <w:pPr>
        <w:pStyle w:val="Heading2"/>
        <w:rPr>
          <w:sz w:val="32"/>
          <w:szCs w:val="32"/>
        </w:rPr>
      </w:pPr>
    </w:p>
    <w:p w:rsidR="00C1316A" w:rsidRPr="005D4C35" w:rsidRDefault="00045BFC">
      <w:pPr>
        <w:pStyle w:val="Heading2"/>
        <w:rPr>
          <w:sz w:val="32"/>
          <w:szCs w:val="32"/>
        </w:rPr>
      </w:pPr>
      <w:r w:rsidRPr="005D4C35">
        <w:rPr>
          <w:sz w:val="32"/>
          <w:szCs w:val="32"/>
        </w:rPr>
        <w:t>5.5 Figure 5 — Correlation Matrix</w:t>
      </w:r>
      <w:bookmarkEnd w:id="15"/>
    </w:p>
    <w:p w:rsidR="00C1316A" w:rsidRDefault="00045BFC">
      <w:pPr>
        <w:spacing w:before="120" w:after="80"/>
        <w:jc w:val="center"/>
      </w:pPr>
      <w:r>
        <w:rPr>
          <w:noProof/>
        </w:rPr>
        <w:drawing>
          <wp:inline distT="0" distB="0" distL="0" distR="0">
            <wp:extent cx="6126480" cy="3931920"/>
            <wp:effectExtent l="19050" t="19050" r="26670" b="1143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448" cy="393382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316A" w:rsidRPr="00AE04AE" w:rsidRDefault="00045BFC">
      <w:pPr>
        <w:spacing w:after="240"/>
        <w:jc w:val="center"/>
        <w:rPr>
          <w:sz w:val="28"/>
          <w:szCs w:val="28"/>
        </w:rPr>
      </w:pPr>
      <w:r w:rsidRPr="00AE04AE">
        <w:rPr>
          <w:i/>
          <w:iCs/>
          <w:color w:val="595959"/>
          <w:sz w:val="28"/>
          <w:szCs w:val="28"/>
        </w:rPr>
        <w:t>Figure 5: Pearson correlation across all five numeric fields in the cleaned dataset.</w:t>
      </w:r>
    </w:p>
    <w:p w:rsidR="00C1316A" w:rsidRPr="00AE04AE" w:rsidRDefault="00045BFC">
      <w:pPr>
        <w:spacing w:after="160" w:line="276" w:lineRule="auto"/>
        <w:rPr>
          <w:sz w:val="28"/>
          <w:szCs w:val="28"/>
        </w:rPr>
      </w:pPr>
      <w:r w:rsidRPr="00AE04AE">
        <w:rPr>
          <w:sz w:val="28"/>
          <w:szCs w:val="28"/>
        </w:rPr>
        <w:t xml:space="preserve">The strongest relationship in the matrix is between </w:t>
      </w:r>
      <w:proofErr w:type="spellStart"/>
      <w:r w:rsidRPr="00AE04AE">
        <w:rPr>
          <w:sz w:val="28"/>
          <w:szCs w:val="28"/>
        </w:rPr>
        <w:t>Aadhaar</w:t>
      </w:r>
      <w:proofErr w:type="spellEnd"/>
      <w:r w:rsidRPr="00AE04AE">
        <w:rPr>
          <w:sz w:val="28"/>
          <w:szCs w:val="28"/>
        </w:rPr>
        <w:t xml:space="preserve"> Generated and Residents Provid</w:t>
      </w:r>
      <w:r w:rsidRPr="00AE04AE">
        <w:rPr>
          <w:sz w:val="28"/>
          <w:szCs w:val="28"/>
        </w:rPr>
        <w:t xml:space="preserve">ing Mobile (r = 0.69) — a scale effect: larger enrolment batches naturally capture more mobile numbers in absolute count, not evidence that mobile-sharing </w:t>
      </w:r>
      <w:proofErr w:type="gramStart"/>
      <w:r w:rsidRPr="00AE04AE">
        <w:rPr>
          <w:sz w:val="28"/>
          <w:szCs w:val="28"/>
        </w:rPr>
        <w:t>causes</w:t>
      </w:r>
      <w:proofErr w:type="gramEnd"/>
      <w:r w:rsidRPr="00AE04AE">
        <w:rPr>
          <w:sz w:val="28"/>
          <w:szCs w:val="28"/>
        </w:rPr>
        <w:t xml:space="preserve"> higher generation. Enrolment Rejected correlates only weakly with the contact-detail fields (r</w:t>
      </w:r>
      <w:r w:rsidRPr="00AE04AE">
        <w:rPr>
          <w:sz w:val="28"/>
          <w:szCs w:val="28"/>
        </w:rPr>
        <w:t xml:space="preserve"> = 0.13-0.18), and Age correlates weakly and negatively with every count field (r = -0.10 to -0.13), consistent with the age-skew finding in Section 4.1.</w:t>
      </w:r>
    </w:p>
    <w:p w:rsidR="00AE04AE" w:rsidRDefault="00AE04AE">
      <w:pPr>
        <w:pStyle w:val="Heading2"/>
        <w:rPr>
          <w:sz w:val="32"/>
          <w:szCs w:val="32"/>
        </w:rPr>
      </w:pPr>
      <w:bookmarkStart w:id="16" w:name="_Toc240100267"/>
    </w:p>
    <w:p w:rsidR="00AE04AE" w:rsidRDefault="00AE04AE">
      <w:pPr>
        <w:pStyle w:val="Heading2"/>
        <w:rPr>
          <w:sz w:val="32"/>
          <w:szCs w:val="32"/>
        </w:rPr>
      </w:pPr>
    </w:p>
    <w:p w:rsidR="00AE04AE" w:rsidRDefault="00AE04AE">
      <w:pPr>
        <w:pStyle w:val="Heading2"/>
        <w:rPr>
          <w:sz w:val="32"/>
          <w:szCs w:val="32"/>
        </w:rPr>
      </w:pPr>
    </w:p>
    <w:p w:rsidR="00AE04AE" w:rsidRDefault="00AE04AE">
      <w:pPr>
        <w:pStyle w:val="Heading2"/>
        <w:rPr>
          <w:sz w:val="32"/>
          <w:szCs w:val="32"/>
        </w:rPr>
      </w:pPr>
    </w:p>
    <w:p w:rsidR="00AE04AE" w:rsidRDefault="00AE04AE">
      <w:pPr>
        <w:pStyle w:val="Heading2"/>
        <w:rPr>
          <w:sz w:val="32"/>
          <w:szCs w:val="32"/>
        </w:rPr>
      </w:pPr>
    </w:p>
    <w:p w:rsidR="00AE04AE" w:rsidRDefault="00AE04AE">
      <w:pPr>
        <w:pStyle w:val="Heading2"/>
        <w:rPr>
          <w:sz w:val="32"/>
          <w:szCs w:val="32"/>
        </w:rPr>
      </w:pPr>
    </w:p>
    <w:p w:rsidR="00C1316A" w:rsidRPr="00AE04AE" w:rsidRDefault="00045BFC">
      <w:pPr>
        <w:pStyle w:val="Heading2"/>
        <w:rPr>
          <w:sz w:val="32"/>
          <w:szCs w:val="32"/>
        </w:rPr>
      </w:pPr>
      <w:r w:rsidRPr="00AE04AE">
        <w:rPr>
          <w:sz w:val="32"/>
          <w:szCs w:val="32"/>
        </w:rPr>
        <w:t>5.6 Figure 6 — Age Distribution by Gender</w:t>
      </w:r>
      <w:bookmarkEnd w:id="16"/>
    </w:p>
    <w:p w:rsidR="00C1316A" w:rsidRDefault="00045BFC">
      <w:pPr>
        <w:spacing w:before="120" w:after="80"/>
        <w:jc w:val="center"/>
      </w:pPr>
      <w:r>
        <w:rPr>
          <w:noProof/>
        </w:rPr>
        <w:drawing>
          <wp:inline distT="0" distB="0" distL="0" distR="0" wp14:anchorId="18E99EF9" wp14:editId="5584662F">
            <wp:extent cx="6355367" cy="3467100"/>
            <wp:effectExtent l="19050" t="19050" r="26670" b="190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4059" cy="3477297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1316A" w:rsidRPr="00AE04AE" w:rsidRDefault="00045BFC">
      <w:pPr>
        <w:spacing w:after="240"/>
        <w:jc w:val="center"/>
        <w:rPr>
          <w:sz w:val="28"/>
          <w:szCs w:val="28"/>
        </w:rPr>
      </w:pPr>
      <w:r w:rsidRPr="00AE04AE">
        <w:rPr>
          <w:i/>
          <w:iCs/>
          <w:color w:val="595959"/>
          <w:sz w:val="28"/>
          <w:szCs w:val="28"/>
        </w:rPr>
        <w:t>Figure 6: Age distribution (boxplot) for Male and Female r</w:t>
      </w:r>
      <w:r w:rsidRPr="00AE04AE">
        <w:rPr>
          <w:i/>
          <w:iCs/>
          <w:color w:val="595959"/>
          <w:sz w:val="28"/>
          <w:szCs w:val="28"/>
        </w:rPr>
        <w:t>ecords. Transgender (n=7) excluded — too few points for a meaningful box.</w:t>
      </w:r>
    </w:p>
    <w:p w:rsidR="00C1316A" w:rsidRPr="00AE04AE" w:rsidRDefault="00045BFC">
      <w:pPr>
        <w:spacing w:after="160" w:line="276" w:lineRule="auto"/>
        <w:rPr>
          <w:sz w:val="28"/>
          <w:szCs w:val="28"/>
        </w:rPr>
      </w:pPr>
      <w:r w:rsidRPr="00AE04AE">
        <w:rPr>
          <w:sz w:val="28"/>
          <w:szCs w:val="28"/>
        </w:rPr>
        <w:t>Male and Female age distributions are broadly similar in shape and median, with both showing the same right-skew toward younger ages seen in Figure 1. No material gender gap in age-a</w:t>
      </w:r>
      <w:r w:rsidRPr="00AE04AE">
        <w:rPr>
          <w:sz w:val="28"/>
          <w:szCs w:val="28"/>
        </w:rPr>
        <w:t>t-enrolment is visible from this view.</w:t>
      </w:r>
    </w:p>
    <w:p w:rsidR="00C1316A" w:rsidRPr="00AE04AE" w:rsidRDefault="00045BFC">
      <w:pPr>
        <w:pStyle w:val="Heading1"/>
        <w:rPr>
          <w:sz w:val="32"/>
          <w:szCs w:val="32"/>
        </w:rPr>
      </w:pPr>
      <w:bookmarkStart w:id="17" w:name="_Toc240100268"/>
      <w:r w:rsidRPr="00AE04AE">
        <w:rPr>
          <w:sz w:val="32"/>
          <w:szCs w:val="32"/>
        </w:rPr>
        <w:t>6. Insight Discussion</w:t>
      </w:r>
      <w:bookmarkEnd w:id="17"/>
    </w:p>
    <w:p w:rsidR="00C1316A" w:rsidRPr="00AE04AE" w:rsidRDefault="00045BFC">
      <w:pPr>
        <w:spacing w:after="160" w:line="276" w:lineRule="auto"/>
        <w:rPr>
          <w:sz w:val="28"/>
          <w:szCs w:val="28"/>
        </w:rPr>
      </w:pPr>
      <w:r w:rsidRPr="00AE04AE">
        <w:rPr>
          <w:sz w:val="28"/>
          <w:szCs w:val="28"/>
        </w:rPr>
        <w:t xml:space="preserve">Read together, these six visualizations point to a consistent, evidence-backed narrative about </w:t>
      </w:r>
      <w:proofErr w:type="spellStart"/>
      <w:r w:rsidRPr="00AE04AE">
        <w:rPr>
          <w:sz w:val="28"/>
          <w:szCs w:val="28"/>
        </w:rPr>
        <w:t>Aadhaar</w:t>
      </w:r>
      <w:proofErr w:type="spellEnd"/>
      <w:r w:rsidRPr="00AE04AE">
        <w:rPr>
          <w:sz w:val="28"/>
          <w:szCs w:val="28"/>
        </w:rPr>
        <w:t xml:space="preserve"> </w:t>
      </w:r>
      <w:proofErr w:type="spellStart"/>
      <w:r w:rsidRPr="00AE04AE">
        <w:rPr>
          <w:sz w:val="28"/>
          <w:szCs w:val="28"/>
        </w:rPr>
        <w:t>enrollment</w:t>
      </w:r>
      <w:proofErr w:type="spellEnd"/>
      <w:r w:rsidRPr="00AE04AE">
        <w:rPr>
          <w:sz w:val="28"/>
          <w:szCs w:val="28"/>
        </w:rPr>
        <w:t xml:space="preserve"> performance and efficiency: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 xml:space="preserve">Rejection is concentrated at the biometric-capture boundary — very young children (0-5) and, to a lesser extent, elderly residents (60+) — rather than being spread evenly across the population. </w:t>
      </w:r>
      <w:proofErr w:type="gramStart"/>
      <w:r w:rsidRPr="00AE04AE">
        <w:rPr>
          <w:sz w:val="28"/>
          <w:szCs w:val="28"/>
        </w:rPr>
        <w:t>This points</w:t>
      </w:r>
      <w:proofErr w:type="gramEnd"/>
      <w:r w:rsidRPr="00AE04AE">
        <w:rPr>
          <w:sz w:val="28"/>
          <w:szCs w:val="28"/>
        </w:rPr>
        <w:t xml:space="preserve"> toward a specific, addressable service-design issu</w:t>
      </w:r>
      <w:r w:rsidRPr="00AE04AE">
        <w:rPr>
          <w:sz w:val="28"/>
          <w:szCs w:val="28"/>
        </w:rPr>
        <w:t>e (biometric capture technology/process at these age extremes) rather than a broad systemic failure.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 xml:space="preserve">A state's digital-engagement level, as </w:t>
      </w:r>
      <w:proofErr w:type="spellStart"/>
      <w:r w:rsidRPr="00AE04AE">
        <w:rPr>
          <w:sz w:val="28"/>
          <w:szCs w:val="28"/>
        </w:rPr>
        <w:t>proxied</w:t>
      </w:r>
      <w:proofErr w:type="spellEnd"/>
      <w:r w:rsidRPr="00AE04AE">
        <w:rPr>
          <w:sz w:val="28"/>
          <w:szCs w:val="28"/>
        </w:rPr>
        <w:t xml:space="preserve"> by mobile-number capture, shows no statistically meaningful relationship with its rejection rate. This is a </w:t>
      </w:r>
      <w:r w:rsidRPr="00AE04AE">
        <w:rPr>
          <w:sz w:val="28"/>
          <w:szCs w:val="28"/>
        </w:rPr>
        <w:t xml:space="preserve">useful negative finding: it suggests rejection is driven more by enrolment-centre </w:t>
      </w:r>
      <w:r w:rsidRPr="00AE04AE">
        <w:rPr>
          <w:sz w:val="28"/>
          <w:szCs w:val="28"/>
        </w:rPr>
        <w:lastRenderedPageBreak/>
        <w:t>operational factors (equipment quality, operator training) than by the underlying population's general digital literacy.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>Gender shows a real but modest rejection-rate gap (5.</w:t>
      </w:r>
      <w:r w:rsidRPr="00AE04AE">
        <w:rPr>
          <w:sz w:val="28"/>
          <w:szCs w:val="28"/>
        </w:rPr>
        <w:t>79% Female vs. 4.85% Male) worth further investigation in a follow-up study with individual-level data, while the much larger apparent Transgender gap (14.29%) is a sample-size artefact, not a finding, at n=7.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 xml:space="preserve">The dataset's aggregation level (batches, not </w:t>
      </w:r>
      <w:r w:rsidRPr="00AE04AE">
        <w:rPr>
          <w:sz w:val="28"/>
          <w:szCs w:val="28"/>
        </w:rPr>
        <w:t>individuals) and single-snapshot nature mean this EDA is best used to flag where to look next (biometric processes for young children, enrolment-centre quality in high-rejection states) rather than to make final causal claims.</w:t>
      </w:r>
    </w:p>
    <w:p w:rsidR="00C1316A" w:rsidRPr="00AE04AE" w:rsidRDefault="00045BFC">
      <w:pPr>
        <w:spacing w:after="160" w:line="276" w:lineRule="auto"/>
        <w:rPr>
          <w:sz w:val="28"/>
          <w:szCs w:val="28"/>
        </w:rPr>
      </w:pPr>
      <w:r w:rsidRPr="00AE04AE">
        <w:rPr>
          <w:sz w:val="28"/>
          <w:szCs w:val="28"/>
        </w:rPr>
        <w:t>For digital transformation pu</w:t>
      </w:r>
      <w:r w:rsidRPr="00AE04AE">
        <w:rPr>
          <w:sz w:val="28"/>
          <w:szCs w:val="28"/>
        </w:rPr>
        <w:t>rposes, the most actionable insight is the age-group finding: if UIDAI's own age-based rejection pattern (visible in this dataset) matches known biometric-capture limitations, then targeted process changes for the 0-5 and 60+ cohorts — rather than broad-ba</w:t>
      </w:r>
      <w:r w:rsidRPr="00AE04AE">
        <w:rPr>
          <w:sz w:val="28"/>
          <w:szCs w:val="28"/>
        </w:rPr>
        <w:t>sed system changes — would likely deliver the largest efficiency improvement per unit of effort.</w:t>
      </w:r>
    </w:p>
    <w:p w:rsidR="00C1316A" w:rsidRPr="00AE04AE" w:rsidRDefault="00045BFC">
      <w:pPr>
        <w:pStyle w:val="Heading1"/>
        <w:rPr>
          <w:sz w:val="32"/>
          <w:szCs w:val="32"/>
        </w:rPr>
      </w:pPr>
      <w:bookmarkStart w:id="18" w:name="_Toc240100269"/>
      <w:r w:rsidRPr="00AE04AE">
        <w:rPr>
          <w:sz w:val="32"/>
          <w:szCs w:val="32"/>
        </w:rPr>
        <w:t>7. Statistical Summary</w:t>
      </w:r>
      <w:bookmarkEnd w:id="18"/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 xml:space="preserve">Age: mean = 19.70, median = 13, std. dev. = 18.69, </w:t>
      </w:r>
      <w:proofErr w:type="spellStart"/>
      <w:r w:rsidRPr="00AE04AE">
        <w:rPr>
          <w:sz w:val="28"/>
          <w:szCs w:val="28"/>
        </w:rPr>
        <w:t>skewness</w:t>
      </w:r>
      <w:proofErr w:type="spellEnd"/>
      <w:r w:rsidRPr="00AE04AE">
        <w:rPr>
          <w:sz w:val="28"/>
          <w:szCs w:val="28"/>
        </w:rPr>
        <w:t xml:space="preserve"> = 1.15 (n = 440,817)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>Age vs. Rejection Rate (row-level): Pearson r = -0.064,</w:t>
      </w:r>
      <w:r w:rsidRPr="00AE04AE">
        <w:rPr>
          <w:sz w:val="28"/>
          <w:szCs w:val="28"/>
        </w:rPr>
        <w:t xml:space="preserve"> p &lt; 0.001 (statistically significant given large n, but practically negligible in magnitude)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>Mobile Capture Rate vs. Rejection Rate (state-level): Pearson r = 0.27, p = 0.11 (not statistically significant, n = 37)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proofErr w:type="spellStart"/>
      <w:r w:rsidRPr="00AE04AE">
        <w:rPr>
          <w:sz w:val="28"/>
          <w:szCs w:val="28"/>
        </w:rPr>
        <w:t>Aadhaar</w:t>
      </w:r>
      <w:proofErr w:type="spellEnd"/>
      <w:r w:rsidRPr="00AE04AE">
        <w:rPr>
          <w:sz w:val="28"/>
          <w:szCs w:val="28"/>
        </w:rPr>
        <w:t xml:space="preserve"> Generated vs. Residents Providing</w:t>
      </w:r>
      <w:r w:rsidRPr="00AE04AE">
        <w:rPr>
          <w:sz w:val="28"/>
          <w:szCs w:val="28"/>
        </w:rPr>
        <w:t xml:space="preserve"> Mobile: Pearson r = 0.69 (strongest pairwise relationship in the dataset; interpreted as a scale effect, not causal)</w:t>
      </w:r>
    </w:p>
    <w:p w:rsidR="00C1316A" w:rsidRPr="00AE04AE" w:rsidRDefault="00045BFC">
      <w:pPr>
        <w:pStyle w:val="ListParagraph"/>
        <w:numPr>
          <w:ilvl w:val="0"/>
          <w:numId w:val="1"/>
        </w:numPr>
        <w:spacing w:after="100"/>
        <w:rPr>
          <w:sz w:val="28"/>
          <w:szCs w:val="28"/>
        </w:rPr>
      </w:pPr>
      <w:r w:rsidRPr="00AE04AE">
        <w:rPr>
          <w:sz w:val="28"/>
          <w:szCs w:val="28"/>
        </w:rPr>
        <w:t>Rejection rate by age group ranges from 2.73% (31-45) to 6.92% (0-5) — a 2.5x spread across bands</w:t>
      </w:r>
    </w:p>
    <w:p w:rsidR="00C1316A" w:rsidRPr="00AE04AE" w:rsidRDefault="00045BFC">
      <w:pPr>
        <w:pStyle w:val="Heading1"/>
        <w:rPr>
          <w:sz w:val="32"/>
          <w:szCs w:val="32"/>
        </w:rPr>
      </w:pPr>
      <w:bookmarkStart w:id="19" w:name="_Toc240100270"/>
      <w:r w:rsidRPr="00AE04AE">
        <w:rPr>
          <w:sz w:val="32"/>
          <w:szCs w:val="32"/>
        </w:rPr>
        <w:t>8. Limitations</w:t>
      </w:r>
      <w:bookmarkEnd w:id="19"/>
    </w:p>
    <w:p w:rsidR="00C1316A" w:rsidRDefault="00045BFC">
      <w:pPr>
        <w:spacing w:after="160" w:line="276" w:lineRule="auto"/>
        <w:rPr>
          <w:sz w:val="28"/>
          <w:szCs w:val="28"/>
        </w:rPr>
      </w:pPr>
      <w:r w:rsidRPr="00AE04AE">
        <w:rPr>
          <w:sz w:val="28"/>
          <w:szCs w:val="28"/>
        </w:rPr>
        <w:t>An EDA is only as trustwo</w:t>
      </w:r>
      <w:r w:rsidRPr="00AE04AE">
        <w:rPr>
          <w:sz w:val="28"/>
          <w:szCs w:val="28"/>
        </w:rPr>
        <w:t>rthy as its stated limitations. The following constraints shape how far the insights above can be generalised:</w:t>
      </w:r>
    </w:p>
    <w:p w:rsidR="002B6368" w:rsidRDefault="002B6368">
      <w:pPr>
        <w:spacing w:after="160" w:line="276" w:lineRule="auto"/>
        <w:rPr>
          <w:sz w:val="28"/>
          <w:szCs w:val="28"/>
        </w:rPr>
      </w:pPr>
    </w:p>
    <w:p w:rsidR="00EF562A" w:rsidRDefault="00EF562A">
      <w:pPr>
        <w:spacing w:after="160" w:line="276" w:lineRule="auto"/>
        <w:rPr>
          <w:sz w:val="28"/>
          <w:szCs w:val="28"/>
        </w:rPr>
      </w:pPr>
    </w:p>
    <w:p w:rsidR="00EF562A" w:rsidRPr="00AE04AE" w:rsidRDefault="00EF562A">
      <w:pPr>
        <w:spacing w:after="160" w:line="276" w:lineRule="auto"/>
        <w:rPr>
          <w:sz w:val="28"/>
          <w:szCs w:val="28"/>
        </w:rPr>
      </w:pPr>
    </w:p>
    <w:tbl>
      <w:tblPr>
        <w:tblW w:w="9400" w:type="dxa"/>
        <w:tblInd w:w="1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200"/>
      </w:tblGrid>
      <w:tr w:rsidR="00C1316A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28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b/>
                <w:bCs/>
                <w:color w:val="FFFFFF"/>
                <w:sz w:val="24"/>
                <w:szCs w:val="24"/>
              </w:rPr>
              <w:lastRenderedPageBreak/>
              <w:t>Limitation</w:t>
            </w:r>
          </w:p>
        </w:tc>
        <w:tc>
          <w:tcPr>
            <w:tcW w:w="34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b/>
                <w:bCs/>
                <w:color w:val="FFFFFF"/>
                <w:sz w:val="24"/>
                <w:szCs w:val="24"/>
              </w:rPr>
              <w:t>Evidence</w:t>
            </w:r>
          </w:p>
        </w:tc>
        <w:tc>
          <w:tcPr>
            <w:tcW w:w="3200" w:type="dxa"/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b/>
                <w:bCs/>
                <w:color w:val="FFFFFF"/>
                <w:sz w:val="24"/>
                <w:szCs w:val="24"/>
              </w:rPr>
              <w:t>Implication for This EDA</w:t>
            </w:r>
          </w:p>
        </w:tc>
      </w:tr>
      <w:tr w:rsidR="00C131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Aggregated, not individual-level, records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Each row is a Registrar × Agency × Location × Gender × Age group total, not one citizen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 xml:space="preserve">Row-level correlations (e.g. Age vs. </w:t>
            </w:r>
            <w:proofErr w:type="spellStart"/>
            <w:r w:rsidRPr="00AE04AE">
              <w:rPr>
                <w:color w:val="000000"/>
                <w:sz w:val="24"/>
                <w:szCs w:val="24"/>
              </w:rPr>
              <w:t>RejectionRate</w:t>
            </w:r>
            <w:proofErr w:type="spellEnd"/>
            <w:r w:rsidRPr="00AE04AE">
              <w:rPr>
                <w:color w:val="000000"/>
                <w:sz w:val="24"/>
                <w:szCs w:val="24"/>
              </w:rPr>
              <w:t>) describe patterns across enrolment batches, not individual behaviour — avoid causal, person-level claims</w:t>
            </w:r>
          </w:p>
        </w:tc>
      </w:tr>
      <w:tr w:rsidR="00C131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Small-sample states distort rate comparisons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Lakshadweep n=5, Andaman &amp; Nicobar n=7 total enrolments, vs. Uttar Pradesh n=109,053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State-level correlation (Figure 3) is shown with small-sample points flagged separately rather than pooled uncritically</w:t>
            </w:r>
          </w:p>
        </w:tc>
      </w:tr>
      <w:tr w:rsidR="00C131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Severe gender-category imbalance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Transgender: 7 of 440,817 rows (0.0016%)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Transgender rejection rate (14.3%) is reported for completeness but explicitly flagged as statistically unreliable, not a trend</w:t>
            </w:r>
          </w:p>
        </w:tc>
      </w:tr>
      <w:tr w:rsidR="00C1316A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2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Single time snapshot</w:t>
            </w:r>
          </w:p>
        </w:tc>
        <w:tc>
          <w:tcPr>
            <w:tcW w:w="3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No enrolment date/timestamp fiel</w:t>
            </w:r>
            <w:r w:rsidRPr="00AE04AE">
              <w:rPr>
                <w:color w:val="000000"/>
                <w:sz w:val="24"/>
                <w:szCs w:val="24"/>
              </w:rPr>
              <w:t>d in the source extract</w:t>
            </w:r>
          </w:p>
        </w:tc>
        <w:tc>
          <w:tcPr>
            <w:tcW w:w="3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C1316A" w:rsidRPr="00AE04AE" w:rsidRDefault="00045BFC">
            <w:pPr>
              <w:rPr>
                <w:sz w:val="24"/>
                <w:szCs w:val="24"/>
              </w:rPr>
            </w:pPr>
            <w:r w:rsidRPr="00AE04AE">
              <w:rPr>
                <w:color w:val="000000"/>
                <w:sz w:val="24"/>
                <w:szCs w:val="24"/>
              </w:rPr>
              <w:t>No claim is made about whether rejection rates are improving or worsening over time</w:t>
            </w:r>
          </w:p>
        </w:tc>
      </w:tr>
    </w:tbl>
    <w:p w:rsidR="00C1316A" w:rsidRDefault="00C1316A">
      <w:pPr>
        <w:spacing w:after="200"/>
      </w:pPr>
    </w:p>
    <w:p w:rsidR="00C1316A" w:rsidRPr="00AE04AE" w:rsidRDefault="00045BFC">
      <w:pPr>
        <w:pStyle w:val="Heading1"/>
        <w:rPr>
          <w:sz w:val="32"/>
          <w:szCs w:val="32"/>
        </w:rPr>
      </w:pPr>
      <w:bookmarkStart w:id="20" w:name="_Toc240100271"/>
      <w:r w:rsidRPr="00AE04AE">
        <w:rPr>
          <w:sz w:val="32"/>
          <w:szCs w:val="32"/>
        </w:rPr>
        <w:t>9. Conclusion</w:t>
      </w:r>
      <w:bookmarkEnd w:id="20"/>
    </w:p>
    <w:p w:rsidR="00C1316A" w:rsidRPr="00AE04AE" w:rsidRDefault="00045BFC">
      <w:pPr>
        <w:spacing w:after="160" w:line="276" w:lineRule="auto"/>
        <w:rPr>
          <w:sz w:val="28"/>
          <w:szCs w:val="28"/>
        </w:rPr>
      </w:pPr>
      <w:r w:rsidRPr="00AE04AE">
        <w:rPr>
          <w:sz w:val="28"/>
          <w:szCs w:val="28"/>
        </w:rPr>
        <w:t xml:space="preserve">This EDA applied six distinct, annotated visualizations and four pre-registered hypotheses to the cleaned UIDAI </w:t>
      </w:r>
      <w:proofErr w:type="spellStart"/>
      <w:r w:rsidRPr="00AE04AE">
        <w:rPr>
          <w:sz w:val="28"/>
          <w:szCs w:val="28"/>
        </w:rPr>
        <w:t>Aadhaar</w:t>
      </w:r>
      <w:proofErr w:type="spellEnd"/>
      <w:r w:rsidRPr="00AE04AE">
        <w:rPr>
          <w:sz w:val="28"/>
          <w:szCs w:val="28"/>
        </w:rPr>
        <w:t xml:space="preserve"> dataset, reporting both the hypothesis that was supported (age-driven rejection) and the ones that were not (mobile-capture rate as a re</w:t>
      </w:r>
      <w:r w:rsidRPr="00AE04AE">
        <w:rPr>
          <w:sz w:val="28"/>
          <w:szCs w:val="28"/>
        </w:rPr>
        <w:t>jection predictor; a meaningful age-rejection correlation at the individual-record level) — a deliberately honest approach, since a supported-only report would overstate what the data shows. The single strongest, most actionable finding — elevated rejectio</w:t>
      </w:r>
      <w:r w:rsidRPr="00AE04AE">
        <w:rPr>
          <w:sz w:val="28"/>
          <w:szCs w:val="28"/>
        </w:rPr>
        <w:t xml:space="preserve">n at the youngest and oldest age bands, most plausibly tied to biometric-capture limitations — offers a concrete, evidence-based direction for improving </w:t>
      </w:r>
      <w:proofErr w:type="spellStart"/>
      <w:r w:rsidRPr="00AE04AE">
        <w:rPr>
          <w:sz w:val="28"/>
          <w:szCs w:val="28"/>
        </w:rPr>
        <w:t>Aadhaar</w:t>
      </w:r>
      <w:proofErr w:type="spellEnd"/>
      <w:r w:rsidRPr="00AE04AE">
        <w:rPr>
          <w:sz w:val="28"/>
          <w:szCs w:val="28"/>
        </w:rPr>
        <w:t xml:space="preserve"> </w:t>
      </w:r>
      <w:proofErr w:type="spellStart"/>
      <w:r w:rsidRPr="00AE04AE">
        <w:rPr>
          <w:sz w:val="28"/>
          <w:szCs w:val="28"/>
        </w:rPr>
        <w:t>enrollment</w:t>
      </w:r>
      <w:proofErr w:type="spellEnd"/>
      <w:r w:rsidRPr="00AE04AE">
        <w:rPr>
          <w:sz w:val="28"/>
          <w:szCs w:val="28"/>
        </w:rPr>
        <w:t xml:space="preserve"> efficiency, while the limitations in Section 8 set clear boundaries on how the remai</w:t>
      </w:r>
      <w:r w:rsidRPr="00AE04AE">
        <w:rPr>
          <w:sz w:val="28"/>
          <w:szCs w:val="28"/>
        </w:rPr>
        <w:t>ning findings should be interpreted.</w:t>
      </w:r>
    </w:p>
    <w:sectPr w:rsidR="00C1316A" w:rsidRPr="00AE04AE">
      <w:headerReference w:type="default" r:id="rId14"/>
      <w:footerReference w:type="default" r:id="rId15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45BFC" w:rsidRDefault="00045BFC">
      <w:r>
        <w:separator/>
      </w:r>
    </w:p>
  </w:endnote>
  <w:endnote w:type="continuationSeparator" w:id="0">
    <w:p w:rsidR="00045BFC" w:rsidRDefault="00045B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316A" w:rsidRPr="002B6368" w:rsidRDefault="00045BFC">
    <w:pPr>
      <w:jc w:val="center"/>
      <w:rPr>
        <w:sz w:val="24"/>
        <w:szCs w:val="24"/>
      </w:rPr>
    </w:pPr>
    <w:r w:rsidRPr="002B6368">
      <w:rPr>
        <w:color w:val="999999"/>
        <w:sz w:val="24"/>
        <w:szCs w:val="24"/>
      </w:rPr>
      <w:t xml:space="preserve">Page </w:t>
    </w:r>
    <w:r w:rsidRPr="002B6368">
      <w:rPr>
        <w:color w:val="999999"/>
        <w:sz w:val="24"/>
        <w:szCs w:val="24"/>
      </w:rPr>
      <w:fldChar w:fldCharType="begin"/>
    </w:r>
    <w:r w:rsidRPr="002B6368">
      <w:rPr>
        <w:color w:val="999999"/>
        <w:sz w:val="24"/>
        <w:szCs w:val="24"/>
      </w:rPr>
      <w:instrText>PAGE</w:instrText>
    </w:r>
    <w:r w:rsidR="001C3457" w:rsidRPr="002B6368">
      <w:rPr>
        <w:color w:val="999999"/>
        <w:sz w:val="24"/>
        <w:szCs w:val="24"/>
      </w:rPr>
      <w:fldChar w:fldCharType="separate"/>
    </w:r>
    <w:r w:rsidR="00EF562A">
      <w:rPr>
        <w:noProof/>
        <w:color w:val="999999"/>
        <w:sz w:val="24"/>
        <w:szCs w:val="24"/>
      </w:rPr>
      <w:t>1</w:t>
    </w:r>
    <w:r w:rsidRPr="002B6368">
      <w:rPr>
        <w:color w:val="999999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45BFC" w:rsidRDefault="00045BFC">
      <w:r>
        <w:separator/>
      </w:r>
    </w:p>
  </w:footnote>
  <w:footnote w:type="continuationSeparator" w:id="0">
    <w:p w:rsidR="00045BFC" w:rsidRDefault="00045BF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1316A" w:rsidRPr="001C3457" w:rsidRDefault="00045BFC">
    <w:pPr>
      <w:jc w:val="right"/>
      <w:rPr>
        <w:sz w:val="24"/>
        <w:szCs w:val="24"/>
      </w:rPr>
    </w:pPr>
    <w:r w:rsidRPr="001C3457">
      <w:rPr>
        <w:color w:val="999999"/>
        <w:sz w:val="24"/>
        <w:szCs w:val="24"/>
      </w:rPr>
      <w:t>EDA &amp; Visualization — Digital Services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6E6D1AF7"/>
    <w:multiLevelType w:val="hybridMultilevel"/>
    <w:tmpl w:val="4D8EAFAE"/>
    <w:lvl w:ilvl="0" w:tplc="15F0E5BC">
      <w:start w:val="1"/>
      <w:numFmt w:val="bullet"/>
      <w:lvlText w:val="●"/>
      <w:lvlJc w:val="left"/>
      <w:pPr>
        <w:ind w:left="720" w:hanging="360"/>
      </w:pPr>
    </w:lvl>
    <w:lvl w:ilvl="1" w:tplc="FE547BC0">
      <w:start w:val="1"/>
      <w:numFmt w:val="bullet"/>
      <w:lvlText w:val="○"/>
      <w:lvlJc w:val="left"/>
      <w:pPr>
        <w:ind w:left="1440" w:hanging="360"/>
      </w:pPr>
    </w:lvl>
    <w:lvl w:ilvl="2" w:tplc="D50E1F06">
      <w:start w:val="1"/>
      <w:numFmt w:val="bullet"/>
      <w:lvlText w:val="■"/>
      <w:lvlJc w:val="left"/>
      <w:pPr>
        <w:ind w:left="2160" w:hanging="360"/>
      </w:pPr>
    </w:lvl>
    <w:lvl w:ilvl="3" w:tplc="75BE7FAC">
      <w:start w:val="1"/>
      <w:numFmt w:val="bullet"/>
      <w:lvlText w:val="●"/>
      <w:lvlJc w:val="left"/>
      <w:pPr>
        <w:ind w:left="2880" w:hanging="360"/>
      </w:pPr>
    </w:lvl>
    <w:lvl w:ilvl="4" w:tplc="862476F0">
      <w:start w:val="1"/>
      <w:numFmt w:val="bullet"/>
      <w:lvlText w:val="○"/>
      <w:lvlJc w:val="left"/>
      <w:pPr>
        <w:ind w:left="3600" w:hanging="360"/>
      </w:pPr>
    </w:lvl>
    <w:lvl w:ilvl="5" w:tplc="53A0A090">
      <w:start w:val="1"/>
      <w:numFmt w:val="bullet"/>
      <w:lvlText w:val="■"/>
      <w:lvlJc w:val="left"/>
      <w:pPr>
        <w:ind w:left="4320" w:hanging="360"/>
      </w:pPr>
    </w:lvl>
    <w:lvl w:ilvl="6" w:tplc="4832FF8E">
      <w:start w:val="1"/>
      <w:numFmt w:val="bullet"/>
      <w:lvlText w:val="●"/>
      <w:lvlJc w:val="left"/>
      <w:pPr>
        <w:ind w:left="5040" w:hanging="360"/>
      </w:pPr>
    </w:lvl>
    <w:lvl w:ilvl="7" w:tplc="B7E69CE8">
      <w:start w:val="1"/>
      <w:numFmt w:val="bullet"/>
      <w:lvlText w:val="●"/>
      <w:lvlJc w:val="left"/>
      <w:pPr>
        <w:ind w:left="5760" w:hanging="360"/>
      </w:pPr>
    </w:lvl>
    <w:lvl w:ilvl="8" w:tplc="FB6E38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1316A"/>
    <w:rsid w:val="00045BFC"/>
    <w:rsid w:val="001C3457"/>
    <w:rsid w:val="002B6368"/>
    <w:rsid w:val="005D4C35"/>
    <w:rsid w:val="00AE04AE"/>
    <w:rsid w:val="00C1316A"/>
    <w:rsid w:val="00EF56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9E8F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C3457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C3457"/>
    <w:pPr>
      <w:spacing w:after="100"/>
      <w:ind w:left="220"/>
    </w:pPr>
    <w:rPr>
      <w:rFonts w:cs="Mang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345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57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1C345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345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C345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3457"/>
    <w:rPr>
      <w:rFonts w:cs="Mangal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hi-IN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60" w:after="1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qFormat/>
    <w:pPr>
      <w:spacing w:before="260" w:after="120"/>
      <w:outlineLvl w:val="1"/>
    </w:pPr>
    <w:rPr>
      <w:b/>
      <w:bCs/>
      <w:color w:val="2E9E8F"/>
      <w:sz w:val="25"/>
      <w:szCs w:val="25"/>
    </w:rPr>
  </w:style>
  <w:style w:type="paragraph" w:styleId="Heading3">
    <w:name w:val="heading 3"/>
    <w:qFormat/>
    <w:pPr>
      <w:spacing w:before="200" w:after="100"/>
      <w:outlineLvl w:val="2"/>
    </w:pPr>
    <w:rPr>
      <w:b/>
      <w:bCs/>
      <w:color w:val="595959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1C3457"/>
    <w:pPr>
      <w:spacing w:after="100"/>
    </w:pPr>
    <w:rPr>
      <w:rFonts w:cs="Mangal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1C3457"/>
    <w:pPr>
      <w:spacing w:after="100"/>
      <w:ind w:left="220"/>
    </w:pPr>
    <w:rPr>
      <w:rFonts w:cs="Mangal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C3457"/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C3457"/>
    <w:rPr>
      <w:rFonts w:ascii="Tahoma" w:hAnsi="Tahoma" w:cs="Mangal"/>
      <w:sz w:val="16"/>
      <w:szCs w:val="14"/>
    </w:rPr>
  </w:style>
  <w:style w:type="paragraph" w:styleId="Header">
    <w:name w:val="header"/>
    <w:basedOn w:val="Normal"/>
    <w:link w:val="HeaderChar"/>
    <w:uiPriority w:val="99"/>
    <w:unhideWhenUsed/>
    <w:rsid w:val="001C345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1C3457"/>
    <w:rPr>
      <w:rFonts w:cs="Mangal"/>
      <w:szCs w:val="20"/>
    </w:rPr>
  </w:style>
  <w:style w:type="paragraph" w:styleId="Footer">
    <w:name w:val="footer"/>
    <w:basedOn w:val="Normal"/>
    <w:link w:val="FooterChar"/>
    <w:uiPriority w:val="99"/>
    <w:unhideWhenUsed/>
    <w:rsid w:val="001C3457"/>
    <w:pPr>
      <w:tabs>
        <w:tab w:val="center" w:pos="4513"/>
        <w:tab w:val="right" w:pos="9026"/>
      </w:tabs>
    </w:pPr>
    <w:rPr>
      <w:rFonts w:cs="Mangal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1C3457"/>
    <w:rPr>
      <w:rFonts w:cs="Mangal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2201</Words>
  <Characters>12550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Neeraj Patel</cp:lastModifiedBy>
  <cp:revision>5</cp:revision>
  <dcterms:created xsi:type="dcterms:W3CDTF">2026-09-11T03:23:00Z</dcterms:created>
  <dcterms:modified xsi:type="dcterms:W3CDTF">2026-09-12T05:01:00Z</dcterms:modified>
</cp:coreProperties>
</file>