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2F31" w:rsidRDefault="005A2F31">
      <w:pPr>
        <w:spacing w:before="1300"/>
      </w:pPr>
    </w:p>
    <w:p w:rsidR="005A2F31" w:rsidRDefault="00011B6D">
      <w:pPr>
        <w:jc w:val="center"/>
      </w:pPr>
      <w:r>
        <w:rPr>
          <w:b/>
          <w:bCs/>
          <w:color w:val="1F4E79"/>
          <w:sz w:val="40"/>
          <w:szCs w:val="40"/>
        </w:rPr>
        <w:t>Comprehensive Evaluation and Reporting</w:t>
      </w:r>
    </w:p>
    <w:p w:rsidR="005A2F31" w:rsidRDefault="00011B6D">
      <w:pPr>
        <w:spacing w:after="300"/>
        <w:jc w:val="center"/>
      </w:pPr>
      <w:proofErr w:type="gramStart"/>
      <w:r>
        <w:rPr>
          <w:b/>
          <w:bCs/>
          <w:color w:val="2E9E8F"/>
          <w:sz w:val="28"/>
          <w:szCs w:val="28"/>
        </w:rPr>
        <w:t>on</w:t>
      </w:r>
      <w:proofErr w:type="gramEnd"/>
      <w:r>
        <w:rPr>
          <w:b/>
          <w:bCs/>
          <w:color w:val="2E9E8F"/>
          <w:sz w:val="28"/>
          <w:szCs w:val="28"/>
        </w:rPr>
        <w:t xml:space="preserve"> Digital Transformation Insights in E-Governance</w:t>
      </w:r>
    </w:p>
    <w:p w:rsidR="005A2F31" w:rsidRPr="00B36DCE" w:rsidRDefault="00011B6D">
      <w:pPr>
        <w:spacing w:before="600"/>
        <w:jc w:val="center"/>
        <w:rPr>
          <w:sz w:val="28"/>
          <w:szCs w:val="28"/>
        </w:rPr>
      </w:pPr>
      <w:r w:rsidRPr="00B36DCE">
        <w:rPr>
          <w:i/>
          <w:iCs/>
          <w:color w:val="595959"/>
          <w:sz w:val="28"/>
          <w:szCs w:val="28"/>
        </w:rPr>
        <w:t>Week 6 Task (Final) — Data Analyst Internship</w:t>
      </w:r>
    </w:p>
    <w:p w:rsidR="005A2F31" w:rsidRPr="00B36DCE" w:rsidRDefault="00B36DCE">
      <w:pPr>
        <w:spacing w:before="90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Prepared by: </w:t>
      </w:r>
      <w:proofErr w:type="spellStart"/>
      <w:r>
        <w:rPr>
          <w:sz w:val="28"/>
          <w:szCs w:val="28"/>
        </w:rPr>
        <w:t>Chitranjan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Vishwakarma</w:t>
      </w:r>
      <w:proofErr w:type="spellEnd"/>
    </w:p>
    <w:p w:rsidR="005A2F31" w:rsidRPr="00B36DCE" w:rsidRDefault="00011B6D">
      <w:pPr>
        <w:spacing w:before="120"/>
        <w:jc w:val="center"/>
        <w:rPr>
          <w:sz w:val="28"/>
          <w:szCs w:val="28"/>
        </w:rPr>
      </w:pPr>
      <w:r w:rsidRPr="00B36DCE">
        <w:rPr>
          <w:color w:val="595959"/>
          <w:sz w:val="28"/>
          <w:szCs w:val="28"/>
        </w:rPr>
        <w:t>September 2026</w:t>
      </w:r>
    </w:p>
    <w:p w:rsidR="005A2F31" w:rsidRDefault="00011B6D">
      <w:r>
        <w:br w:type="page"/>
      </w:r>
    </w:p>
    <w:p w:rsidR="005A2F31" w:rsidRPr="00B36DCE" w:rsidRDefault="00011B6D">
      <w:pPr>
        <w:pStyle w:val="Heading1"/>
        <w:rPr>
          <w:sz w:val="32"/>
          <w:szCs w:val="32"/>
        </w:rPr>
      </w:pPr>
      <w:bookmarkStart w:id="0" w:name="_Toc241214809"/>
      <w:r w:rsidRPr="00B36DCE">
        <w:rPr>
          <w:sz w:val="32"/>
          <w:szCs w:val="32"/>
        </w:rPr>
        <w:lastRenderedPageBreak/>
        <w:t>Table of Contents</w:t>
      </w:r>
      <w:bookmarkEnd w:id="0"/>
    </w:p>
    <w:sdt>
      <w:sdtPr>
        <w:alias w:val="Table of Contents"/>
        <w:id w:val="-757054622"/>
      </w:sdtPr>
      <w:sdtEndPr>
        <w:rPr>
          <w:rFonts w:cs="Calibri"/>
          <w:sz w:val="28"/>
          <w:szCs w:val="28"/>
        </w:rPr>
      </w:sdtEndPr>
      <w:sdtContent>
        <w:p w:rsidR="00B36DCE" w:rsidRPr="00B36DCE" w:rsidRDefault="00011B6D">
          <w:pPr>
            <w:pStyle w:val="TOC1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r w:rsidRPr="00B36DCE">
            <w:rPr>
              <w:sz w:val="28"/>
              <w:szCs w:val="28"/>
            </w:rPr>
            <w:fldChar w:fldCharType="begin"/>
          </w:r>
          <w:r w:rsidRPr="00B36DCE">
            <w:rPr>
              <w:sz w:val="28"/>
              <w:szCs w:val="28"/>
            </w:rPr>
            <w:instrText>TOC \h \o "1-3"</w:instrText>
          </w:r>
          <w:r w:rsidRPr="00B36DCE">
            <w:rPr>
              <w:sz w:val="28"/>
              <w:szCs w:val="28"/>
            </w:rPr>
            <w:fldChar w:fldCharType="separate"/>
          </w:r>
          <w:hyperlink w:anchor="_Toc241214809" w:history="1">
            <w:r w:rsidR="00B36DCE" w:rsidRPr="00B36DCE">
              <w:rPr>
                <w:rStyle w:val="Hyperlink"/>
                <w:noProof/>
                <w:sz w:val="28"/>
                <w:szCs w:val="28"/>
              </w:rPr>
              <w:t>Table of Contents</w:t>
            </w:r>
            <w:r w:rsidR="00B36DCE" w:rsidRPr="00B36DCE">
              <w:rPr>
                <w:noProof/>
                <w:sz w:val="28"/>
                <w:szCs w:val="28"/>
              </w:rPr>
              <w:tab/>
            </w:r>
            <w:r w:rsidR="00B36DCE" w:rsidRPr="00B36DCE">
              <w:rPr>
                <w:noProof/>
                <w:sz w:val="28"/>
                <w:szCs w:val="28"/>
              </w:rPr>
              <w:fldChar w:fldCharType="begin"/>
            </w:r>
            <w:r w:rsidR="00B36DCE" w:rsidRPr="00B36DCE">
              <w:rPr>
                <w:noProof/>
                <w:sz w:val="28"/>
                <w:szCs w:val="28"/>
              </w:rPr>
              <w:instrText xml:space="preserve"> PAGEREF _Toc241214809 \h </w:instrText>
            </w:r>
            <w:r w:rsidR="00B36DCE" w:rsidRPr="00B36DCE">
              <w:rPr>
                <w:noProof/>
                <w:sz w:val="28"/>
                <w:szCs w:val="28"/>
              </w:rPr>
            </w:r>
            <w:r w:rsidR="00B36DCE" w:rsidRPr="00B36DCE">
              <w:rPr>
                <w:noProof/>
                <w:sz w:val="28"/>
                <w:szCs w:val="28"/>
              </w:rPr>
              <w:fldChar w:fldCharType="separate"/>
            </w:r>
            <w:r w:rsidR="00B36DCE" w:rsidRPr="00B36DCE">
              <w:rPr>
                <w:noProof/>
                <w:sz w:val="28"/>
                <w:szCs w:val="28"/>
              </w:rPr>
              <w:t>2</w:t>
            </w:r>
            <w:r w:rsidR="00B36DCE" w:rsidRPr="00B36DCE">
              <w:rPr>
                <w:noProof/>
                <w:sz w:val="28"/>
                <w:szCs w:val="28"/>
              </w:rPr>
              <w:fldChar w:fldCharType="end"/>
            </w:r>
          </w:hyperlink>
        </w:p>
        <w:p w:rsidR="00B36DCE" w:rsidRPr="00B36DCE" w:rsidRDefault="00B36DCE">
          <w:pPr>
            <w:pStyle w:val="TOC1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41214810" w:history="1">
            <w:r w:rsidRPr="00B36DCE">
              <w:rPr>
                <w:rStyle w:val="Hyperlink"/>
                <w:noProof/>
                <w:sz w:val="28"/>
                <w:szCs w:val="28"/>
              </w:rPr>
              <w:t>1. Executive Summary</w:t>
            </w:r>
            <w:r w:rsidRPr="00B36DCE">
              <w:rPr>
                <w:noProof/>
                <w:sz w:val="28"/>
                <w:szCs w:val="28"/>
              </w:rPr>
              <w:tab/>
            </w:r>
            <w:r w:rsidRPr="00B36DCE">
              <w:rPr>
                <w:noProof/>
                <w:sz w:val="28"/>
                <w:szCs w:val="28"/>
              </w:rPr>
              <w:fldChar w:fldCharType="begin"/>
            </w:r>
            <w:r w:rsidRPr="00B36DCE">
              <w:rPr>
                <w:noProof/>
                <w:sz w:val="28"/>
                <w:szCs w:val="28"/>
              </w:rPr>
              <w:instrText xml:space="preserve"> PAGEREF _Toc241214810 \h </w:instrText>
            </w:r>
            <w:r w:rsidRPr="00B36DCE">
              <w:rPr>
                <w:noProof/>
                <w:sz w:val="28"/>
                <w:szCs w:val="28"/>
              </w:rPr>
            </w:r>
            <w:r w:rsidRPr="00B36DCE">
              <w:rPr>
                <w:noProof/>
                <w:sz w:val="28"/>
                <w:szCs w:val="28"/>
              </w:rPr>
              <w:fldChar w:fldCharType="separate"/>
            </w:r>
            <w:r w:rsidRPr="00B36DCE">
              <w:rPr>
                <w:noProof/>
                <w:sz w:val="28"/>
                <w:szCs w:val="28"/>
              </w:rPr>
              <w:t>3</w:t>
            </w:r>
            <w:r w:rsidRPr="00B36DCE">
              <w:rPr>
                <w:noProof/>
                <w:sz w:val="28"/>
                <w:szCs w:val="28"/>
              </w:rPr>
              <w:fldChar w:fldCharType="end"/>
            </w:r>
          </w:hyperlink>
        </w:p>
        <w:p w:rsidR="00B36DCE" w:rsidRPr="00B36DCE" w:rsidRDefault="00B36DCE">
          <w:pPr>
            <w:pStyle w:val="TOC1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41214811" w:history="1">
            <w:r w:rsidRPr="00B36DCE">
              <w:rPr>
                <w:rStyle w:val="Hyperlink"/>
                <w:noProof/>
                <w:sz w:val="28"/>
                <w:szCs w:val="28"/>
              </w:rPr>
              <w:t>2. Introduction and Objective</w:t>
            </w:r>
            <w:r w:rsidRPr="00B36DCE">
              <w:rPr>
                <w:noProof/>
                <w:sz w:val="28"/>
                <w:szCs w:val="28"/>
              </w:rPr>
              <w:tab/>
            </w:r>
            <w:r w:rsidRPr="00B36DCE">
              <w:rPr>
                <w:noProof/>
                <w:sz w:val="28"/>
                <w:szCs w:val="28"/>
              </w:rPr>
              <w:fldChar w:fldCharType="begin"/>
            </w:r>
            <w:r w:rsidRPr="00B36DCE">
              <w:rPr>
                <w:noProof/>
                <w:sz w:val="28"/>
                <w:szCs w:val="28"/>
              </w:rPr>
              <w:instrText xml:space="preserve"> PAGEREF _Toc241214811 \h </w:instrText>
            </w:r>
            <w:r w:rsidRPr="00B36DCE">
              <w:rPr>
                <w:noProof/>
                <w:sz w:val="28"/>
                <w:szCs w:val="28"/>
              </w:rPr>
            </w:r>
            <w:r w:rsidRPr="00B36DCE">
              <w:rPr>
                <w:noProof/>
                <w:sz w:val="28"/>
                <w:szCs w:val="28"/>
              </w:rPr>
              <w:fldChar w:fldCharType="separate"/>
            </w:r>
            <w:r w:rsidRPr="00B36DCE">
              <w:rPr>
                <w:noProof/>
                <w:sz w:val="28"/>
                <w:szCs w:val="28"/>
              </w:rPr>
              <w:t>3</w:t>
            </w:r>
            <w:r w:rsidRPr="00B36DCE">
              <w:rPr>
                <w:noProof/>
                <w:sz w:val="28"/>
                <w:szCs w:val="28"/>
              </w:rPr>
              <w:fldChar w:fldCharType="end"/>
            </w:r>
          </w:hyperlink>
        </w:p>
        <w:p w:rsidR="00B36DCE" w:rsidRPr="00B36DCE" w:rsidRDefault="00B36DCE">
          <w:pPr>
            <w:pStyle w:val="TOC1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41214812" w:history="1">
            <w:r w:rsidRPr="00B36DCE">
              <w:rPr>
                <w:rStyle w:val="Hyperlink"/>
                <w:noProof/>
                <w:sz w:val="28"/>
                <w:szCs w:val="28"/>
              </w:rPr>
              <w:t>3. Summary of Processes and Methods</w:t>
            </w:r>
            <w:r w:rsidRPr="00B36DCE">
              <w:rPr>
                <w:noProof/>
                <w:sz w:val="28"/>
                <w:szCs w:val="28"/>
              </w:rPr>
              <w:tab/>
            </w:r>
            <w:r w:rsidRPr="00B36DCE">
              <w:rPr>
                <w:noProof/>
                <w:sz w:val="28"/>
                <w:szCs w:val="28"/>
              </w:rPr>
              <w:fldChar w:fldCharType="begin"/>
            </w:r>
            <w:r w:rsidRPr="00B36DCE">
              <w:rPr>
                <w:noProof/>
                <w:sz w:val="28"/>
                <w:szCs w:val="28"/>
              </w:rPr>
              <w:instrText xml:space="preserve"> PAGEREF _Toc241214812 \h </w:instrText>
            </w:r>
            <w:r w:rsidRPr="00B36DCE">
              <w:rPr>
                <w:noProof/>
                <w:sz w:val="28"/>
                <w:szCs w:val="28"/>
              </w:rPr>
            </w:r>
            <w:r w:rsidRPr="00B36DCE">
              <w:rPr>
                <w:noProof/>
                <w:sz w:val="28"/>
                <w:szCs w:val="28"/>
              </w:rPr>
              <w:fldChar w:fldCharType="separate"/>
            </w:r>
            <w:r w:rsidRPr="00B36DCE">
              <w:rPr>
                <w:noProof/>
                <w:sz w:val="28"/>
                <w:szCs w:val="28"/>
              </w:rPr>
              <w:t>3</w:t>
            </w:r>
            <w:r w:rsidRPr="00B36DCE">
              <w:rPr>
                <w:noProof/>
                <w:sz w:val="28"/>
                <w:szCs w:val="28"/>
              </w:rPr>
              <w:fldChar w:fldCharType="end"/>
            </w:r>
          </w:hyperlink>
        </w:p>
        <w:p w:rsidR="00B36DCE" w:rsidRPr="00B36DCE" w:rsidRDefault="00B36DCE">
          <w:pPr>
            <w:pStyle w:val="TOC1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41214813" w:history="1">
            <w:r w:rsidRPr="00B36DCE">
              <w:rPr>
                <w:rStyle w:val="Hyperlink"/>
                <w:noProof/>
                <w:sz w:val="28"/>
                <w:szCs w:val="28"/>
              </w:rPr>
              <w:t>4. Critical Analysis of Methodologies</w:t>
            </w:r>
            <w:r w:rsidRPr="00B36DCE">
              <w:rPr>
                <w:noProof/>
                <w:sz w:val="28"/>
                <w:szCs w:val="28"/>
              </w:rPr>
              <w:tab/>
            </w:r>
            <w:r w:rsidRPr="00B36DCE">
              <w:rPr>
                <w:noProof/>
                <w:sz w:val="28"/>
                <w:szCs w:val="28"/>
              </w:rPr>
              <w:fldChar w:fldCharType="begin"/>
            </w:r>
            <w:r w:rsidRPr="00B36DCE">
              <w:rPr>
                <w:noProof/>
                <w:sz w:val="28"/>
                <w:szCs w:val="28"/>
              </w:rPr>
              <w:instrText xml:space="preserve"> PAGEREF _Toc241214813 \h </w:instrText>
            </w:r>
            <w:r w:rsidRPr="00B36DCE">
              <w:rPr>
                <w:noProof/>
                <w:sz w:val="28"/>
                <w:szCs w:val="28"/>
              </w:rPr>
            </w:r>
            <w:r w:rsidRPr="00B36DCE">
              <w:rPr>
                <w:noProof/>
                <w:sz w:val="28"/>
                <w:szCs w:val="28"/>
              </w:rPr>
              <w:fldChar w:fldCharType="separate"/>
            </w:r>
            <w:r w:rsidRPr="00B36DCE">
              <w:rPr>
                <w:noProof/>
                <w:sz w:val="28"/>
                <w:szCs w:val="28"/>
              </w:rPr>
              <w:t>4</w:t>
            </w:r>
            <w:r w:rsidRPr="00B36DCE">
              <w:rPr>
                <w:noProof/>
                <w:sz w:val="28"/>
                <w:szCs w:val="28"/>
              </w:rPr>
              <w:fldChar w:fldCharType="end"/>
            </w:r>
          </w:hyperlink>
        </w:p>
        <w:p w:rsidR="00B36DCE" w:rsidRPr="00B36DCE" w:rsidRDefault="00B36DCE">
          <w:pPr>
            <w:pStyle w:val="TOC2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41214814" w:history="1">
            <w:r w:rsidRPr="00B36DCE">
              <w:rPr>
                <w:rStyle w:val="Hyperlink"/>
                <w:noProof/>
                <w:sz w:val="28"/>
                <w:szCs w:val="28"/>
              </w:rPr>
              <w:t>4.1 The Clearest Cross-Phase Pattern: Rigor Increased Under Feedback</w:t>
            </w:r>
            <w:r w:rsidRPr="00B36DCE">
              <w:rPr>
                <w:noProof/>
                <w:sz w:val="28"/>
                <w:szCs w:val="28"/>
              </w:rPr>
              <w:tab/>
            </w:r>
            <w:r w:rsidRPr="00B36DCE">
              <w:rPr>
                <w:noProof/>
                <w:sz w:val="28"/>
                <w:szCs w:val="28"/>
              </w:rPr>
              <w:fldChar w:fldCharType="begin"/>
            </w:r>
            <w:r w:rsidRPr="00B36DCE">
              <w:rPr>
                <w:noProof/>
                <w:sz w:val="28"/>
                <w:szCs w:val="28"/>
              </w:rPr>
              <w:instrText xml:space="preserve"> PAGEREF _Toc241214814 \h </w:instrText>
            </w:r>
            <w:r w:rsidRPr="00B36DCE">
              <w:rPr>
                <w:noProof/>
                <w:sz w:val="28"/>
                <w:szCs w:val="28"/>
              </w:rPr>
            </w:r>
            <w:r w:rsidRPr="00B36DCE">
              <w:rPr>
                <w:noProof/>
                <w:sz w:val="28"/>
                <w:szCs w:val="28"/>
              </w:rPr>
              <w:fldChar w:fldCharType="separate"/>
            </w:r>
            <w:r w:rsidRPr="00B36DCE">
              <w:rPr>
                <w:noProof/>
                <w:sz w:val="28"/>
                <w:szCs w:val="28"/>
              </w:rPr>
              <w:t>4</w:t>
            </w:r>
            <w:r w:rsidRPr="00B36DCE">
              <w:rPr>
                <w:noProof/>
                <w:sz w:val="28"/>
                <w:szCs w:val="28"/>
              </w:rPr>
              <w:fldChar w:fldCharType="end"/>
            </w:r>
          </w:hyperlink>
        </w:p>
        <w:p w:rsidR="00B36DCE" w:rsidRPr="00B36DCE" w:rsidRDefault="00B36DCE">
          <w:pPr>
            <w:pStyle w:val="TOC2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41214815" w:history="1">
            <w:r w:rsidRPr="00B36DCE">
              <w:rPr>
                <w:rStyle w:val="Hyperlink"/>
                <w:noProof/>
                <w:sz w:val="28"/>
                <w:szCs w:val="28"/>
              </w:rPr>
              <w:t>4.2 Real Data vs. Simulation: A Consistent, Disclosed Boundary</w:t>
            </w:r>
            <w:r w:rsidRPr="00B36DCE">
              <w:rPr>
                <w:noProof/>
                <w:sz w:val="28"/>
                <w:szCs w:val="28"/>
              </w:rPr>
              <w:tab/>
            </w:r>
            <w:r w:rsidRPr="00B36DCE">
              <w:rPr>
                <w:noProof/>
                <w:sz w:val="28"/>
                <w:szCs w:val="28"/>
              </w:rPr>
              <w:fldChar w:fldCharType="begin"/>
            </w:r>
            <w:r w:rsidRPr="00B36DCE">
              <w:rPr>
                <w:noProof/>
                <w:sz w:val="28"/>
                <w:szCs w:val="28"/>
              </w:rPr>
              <w:instrText xml:space="preserve"> PAGEREF _Toc241214815 \h </w:instrText>
            </w:r>
            <w:r w:rsidRPr="00B36DCE">
              <w:rPr>
                <w:noProof/>
                <w:sz w:val="28"/>
                <w:szCs w:val="28"/>
              </w:rPr>
            </w:r>
            <w:r w:rsidRPr="00B36DCE">
              <w:rPr>
                <w:noProof/>
                <w:sz w:val="28"/>
                <w:szCs w:val="28"/>
              </w:rPr>
              <w:fldChar w:fldCharType="separate"/>
            </w:r>
            <w:r w:rsidRPr="00B36DCE">
              <w:rPr>
                <w:noProof/>
                <w:sz w:val="28"/>
                <w:szCs w:val="28"/>
              </w:rPr>
              <w:t>4</w:t>
            </w:r>
            <w:r w:rsidRPr="00B36DCE">
              <w:rPr>
                <w:noProof/>
                <w:sz w:val="28"/>
                <w:szCs w:val="28"/>
              </w:rPr>
              <w:fldChar w:fldCharType="end"/>
            </w:r>
          </w:hyperlink>
        </w:p>
        <w:p w:rsidR="00B36DCE" w:rsidRPr="00B36DCE" w:rsidRDefault="00B36DCE">
          <w:pPr>
            <w:pStyle w:val="TOC1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41214816" w:history="1">
            <w:r w:rsidRPr="00B36DCE">
              <w:rPr>
                <w:rStyle w:val="Hyperlink"/>
                <w:noProof/>
                <w:sz w:val="28"/>
                <w:szCs w:val="28"/>
              </w:rPr>
              <w:t>5. Insight Synthesis Across the Internship</w:t>
            </w:r>
            <w:r w:rsidRPr="00B36DCE">
              <w:rPr>
                <w:noProof/>
                <w:sz w:val="28"/>
                <w:szCs w:val="28"/>
              </w:rPr>
              <w:tab/>
            </w:r>
            <w:r w:rsidRPr="00B36DCE">
              <w:rPr>
                <w:noProof/>
                <w:sz w:val="28"/>
                <w:szCs w:val="28"/>
              </w:rPr>
              <w:fldChar w:fldCharType="begin"/>
            </w:r>
            <w:r w:rsidRPr="00B36DCE">
              <w:rPr>
                <w:noProof/>
                <w:sz w:val="28"/>
                <w:szCs w:val="28"/>
              </w:rPr>
              <w:instrText xml:space="preserve"> PAGEREF _Toc241214816 \h </w:instrText>
            </w:r>
            <w:r w:rsidRPr="00B36DCE">
              <w:rPr>
                <w:noProof/>
                <w:sz w:val="28"/>
                <w:szCs w:val="28"/>
              </w:rPr>
            </w:r>
            <w:r w:rsidRPr="00B36DCE">
              <w:rPr>
                <w:noProof/>
                <w:sz w:val="28"/>
                <w:szCs w:val="28"/>
              </w:rPr>
              <w:fldChar w:fldCharType="separate"/>
            </w:r>
            <w:r w:rsidRPr="00B36DCE">
              <w:rPr>
                <w:noProof/>
                <w:sz w:val="28"/>
                <w:szCs w:val="28"/>
              </w:rPr>
              <w:t>5</w:t>
            </w:r>
            <w:r w:rsidRPr="00B36DCE">
              <w:rPr>
                <w:noProof/>
                <w:sz w:val="28"/>
                <w:szCs w:val="28"/>
              </w:rPr>
              <w:fldChar w:fldCharType="end"/>
            </w:r>
          </w:hyperlink>
        </w:p>
        <w:p w:rsidR="00B36DCE" w:rsidRPr="00B36DCE" w:rsidRDefault="00B36DCE">
          <w:pPr>
            <w:pStyle w:val="TOC2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41214817" w:history="1">
            <w:r w:rsidRPr="00B36DCE">
              <w:rPr>
                <w:rStyle w:val="Hyperlink"/>
                <w:noProof/>
                <w:sz w:val="28"/>
                <w:szCs w:val="28"/>
              </w:rPr>
              <w:t>5.1 Digital Identity Layer — UIDAI (Weeks 1-4)</w:t>
            </w:r>
            <w:r w:rsidRPr="00B36DCE">
              <w:rPr>
                <w:noProof/>
                <w:sz w:val="28"/>
                <w:szCs w:val="28"/>
              </w:rPr>
              <w:tab/>
            </w:r>
            <w:r w:rsidRPr="00B36DCE">
              <w:rPr>
                <w:noProof/>
                <w:sz w:val="28"/>
                <w:szCs w:val="28"/>
              </w:rPr>
              <w:fldChar w:fldCharType="begin"/>
            </w:r>
            <w:r w:rsidRPr="00B36DCE">
              <w:rPr>
                <w:noProof/>
                <w:sz w:val="28"/>
                <w:szCs w:val="28"/>
              </w:rPr>
              <w:instrText xml:space="preserve"> PAGEREF _Toc241214817 \h </w:instrText>
            </w:r>
            <w:r w:rsidRPr="00B36DCE">
              <w:rPr>
                <w:noProof/>
                <w:sz w:val="28"/>
                <w:szCs w:val="28"/>
              </w:rPr>
            </w:r>
            <w:r w:rsidRPr="00B36DCE">
              <w:rPr>
                <w:noProof/>
                <w:sz w:val="28"/>
                <w:szCs w:val="28"/>
              </w:rPr>
              <w:fldChar w:fldCharType="separate"/>
            </w:r>
            <w:r w:rsidRPr="00B36DCE">
              <w:rPr>
                <w:noProof/>
                <w:sz w:val="28"/>
                <w:szCs w:val="28"/>
              </w:rPr>
              <w:t>5</w:t>
            </w:r>
            <w:r w:rsidRPr="00B36DCE">
              <w:rPr>
                <w:noProof/>
                <w:sz w:val="28"/>
                <w:szCs w:val="28"/>
              </w:rPr>
              <w:fldChar w:fldCharType="end"/>
            </w:r>
          </w:hyperlink>
        </w:p>
        <w:p w:rsidR="00B36DCE" w:rsidRPr="00B36DCE" w:rsidRDefault="00B36DCE">
          <w:pPr>
            <w:pStyle w:val="TOC2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41214818" w:history="1">
            <w:r w:rsidRPr="00B36DCE">
              <w:rPr>
                <w:rStyle w:val="Hyperlink"/>
                <w:noProof/>
                <w:sz w:val="28"/>
                <w:szCs w:val="28"/>
              </w:rPr>
              <w:t>5.2 Digital Service Adoption Layer — UMANG &amp; DigiLocker (Week 2)</w:t>
            </w:r>
            <w:r w:rsidRPr="00B36DCE">
              <w:rPr>
                <w:noProof/>
                <w:sz w:val="28"/>
                <w:szCs w:val="28"/>
              </w:rPr>
              <w:tab/>
            </w:r>
            <w:r w:rsidRPr="00B36DCE">
              <w:rPr>
                <w:noProof/>
                <w:sz w:val="28"/>
                <w:szCs w:val="28"/>
              </w:rPr>
              <w:fldChar w:fldCharType="begin"/>
            </w:r>
            <w:r w:rsidRPr="00B36DCE">
              <w:rPr>
                <w:noProof/>
                <w:sz w:val="28"/>
                <w:szCs w:val="28"/>
              </w:rPr>
              <w:instrText xml:space="preserve"> PAGEREF _Toc241214818 \h </w:instrText>
            </w:r>
            <w:r w:rsidRPr="00B36DCE">
              <w:rPr>
                <w:noProof/>
                <w:sz w:val="28"/>
                <w:szCs w:val="28"/>
              </w:rPr>
            </w:r>
            <w:r w:rsidRPr="00B36DCE">
              <w:rPr>
                <w:noProof/>
                <w:sz w:val="28"/>
                <w:szCs w:val="28"/>
              </w:rPr>
              <w:fldChar w:fldCharType="separate"/>
            </w:r>
            <w:r w:rsidRPr="00B36DCE">
              <w:rPr>
                <w:noProof/>
                <w:sz w:val="28"/>
                <w:szCs w:val="28"/>
              </w:rPr>
              <w:t>5</w:t>
            </w:r>
            <w:r w:rsidRPr="00B36DCE">
              <w:rPr>
                <w:noProof/>
                <w:sz w:val="28"/>
                <w:szCs w:val="28"/>
              </w:rPr>
              <w:fldChar w:fldCharType="end"/>
            </w:r>
          </w:hyperlink>
        </w:p>
        <w:p w:rsidR="00B36DCE" w:rsidRPr="00B36DCE" w:rsidRDefault="00B36DCE">
          <w:pPr>
            <w:pStyle w:val="TOC2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41214819" w:history="1">
            <w:r w:rsidRPr="00B36DCE">
              <w:rPr>
                <w:rStyle w:val="Hyperlink"/>
                <w:noProof/>
                <w:sz w:val="28"/>
                <w:szCs w:val="28"/>
              </w:rPr>
              <w:t>5.3 Predictive Modeling Layer — UPI Demand (Week 5)</w:t>
            </w:r>
            <w:r w:rsidRPr="00B36DCE">
              <w:rPr>
                <w:noProof/>
                <w:sz w:val="28"/>
                <w:szCs w:val="28"/>
              </w:rPr>
              <w:tab/>
            </w:r>
            <w:r w:rsidRPr="00B36DCE">
              <w:rPr>
                <w:noProof/>
                <w:sz w:val="28"/>
                <w:szCs w:val="28"/>
              </w:rPr>
              <w:fldChar w:fldCharType="begin"/>
            </w:r>
            <w:r w:rsidRPr="00B36DCE">
              <w:rPr>
                <w:noProof/>
                <w:sz w:val="28"/>
                <w:szCs w:val="28"/>
              </w:rPr>
              <w:instrText xml:space="preserve"> PAGEREF _Toc241214819 \h </w:instrText>
            </w:r>
            <w:r w:rsidRPr="00B36DCE">
              <w:rPr>
                <w:noProof/>
                <w:sz w:val="28"/>
                <w:szCs w:val="28"/>
              </w:rPr>
            </w:r>
            <w:r w:rsidRPr="00B36DCE">
              <w:rPr>
                <w:noProof/>
                <w:sz w:val="28"/>
                <w:szCs w:val="28"/>
              </w:rPr>
              <w:fldChar w:fldCharType="separate"/>
            </w:r>
            <w:r w:rsidRPr="00B36DCE">
              <w:rPr>
                <w:noProof/>
                <w:sz w:val="28"/>
                <w:szCs w:val="28"/>
              </w:rPr>
              <w:t>5</w:t>
            </w:r>
            <w:r w:rsidRPr="00B36DCE">
              <w:rPr>
                <w:noProof/>
                <w:sz w:val="28"/>
                <w:szCs w:val="28"/>
              </w:rPr>
              <w:fldChar w:fldCharType="end"/>
            </w:r>
          </w:hyperlink>
        </w:p>
        <w:p w:rsidR="00B36DCE" w:rsidRPr="00B36DCE" w:rsidRDefault="00B36DCE">
          <w:pPr>
            <w:pStyle w:val="TOC2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41214820" w:history="1">
            <w:r w:rsidRPr="00B36DCE">
              <w:rPr>
                <w:rStyle w:val="Hyperlink"/>
                <w:noProof/>
                <w:sz w:val="28"/>
                <w:szCs w:val="28"/>
              </w:rPr>
              <w:t>5.4 Validation Layer — CPGRAMS (Week 6, this report)</w:t>
            </w:r>
            <w:r w:rsidRPr="00B36DCE">
              <w:rPr>
                <w:noProof/>
                <w:sz w:val="28"/>
                <w:szCs w:val="28"/>
              </w:rPr>
              <w:tab/>
            </w:r>
            <w:r w:rsidRPr="00B36DCE">
              <w:rPr>
                <w:noProof/>
                <w:sz w:val="28"/>
                <w:szCs w:val="28"/>
              </w:rPr>
              <w:fldChar w:fldCharType="begin"/>
            </w:r>
            <w:r w:rsidRPr="00B36DCE">
              <w:rPr>
                <w:noProof/>
                <w:sz w:val="28"/>
                <w:szCs w:val="28"/>
              </w:rPr>
              <w:instrText xml:space="preserve"> PAGEREF _Toc241214820 \h </w:instrText>
            </w:r>
            <w:r w:rsidRPr="00B36DCE">
              <w:rPr>
                <w:noProof/>
                <w:sz w:val="28"/>
                <w:szCs w:val="28"/>
              </w:rPr>
            </w:r>
            <w:r w:rsidRPr="00B36DCE">
              <w:rPr>
                <w:noProof/>
                <w:sz w:val="28"/>
                <w:szCs w:val="28"/>
              </w:rPr>
              <w:fldChar w:fldCharType="separate"/>
            </w:r>
            <w:r w:rsidRPr="00B36DCE">
              <w:rPr>
                <w:noProof/>
                <w:sz w:val="28"/>
                <w:szCs w:val="28"/>
              </w:rPr>
              <w:t>5</w:t>
            </w:r>
            <w:r w:rsidRPr="00B36DCE">
              <w:rPr>
                <w:noProof/>
                <w:sz w:val="28"/>
                <w:szCs w:val="28"/>
              </w:rPr>
              <w:fldChar w:fldCharType="end"/>
            </w:r>
          </w:hyperlink>
        </w:p>
        <w:p w:rsidR="00B36DCE" w:rsidRPr="00B36DCE" w:rsidRDefault="00B36DCE">
          <w:pPr>
            <w:pStyle w:val="TOC1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41214821" w:history="1">
            <w:r w:rsidRPr="00B36DCE">
              <w:rPr>
                <w:rStyle w:val="Hyperlink"/>
                <w:noProof/>
                <w:sz w:val="28"/>
                <w:szCs w:val="28"/>
              </w:rPr>
              <w:t>6. Recommendations</w:t>
            </w:r>
            <w:r w:rsidRPr="00B36DCE">
              <w:rPr>
                <w:noProof/>
                <w:sz w:val="28"/>
                <w:szCs w:val="28"/>
              </w:rPr>
              <w:tab/>
            </w:r>
            <w:r w:rsidRPr="00B36DCE">
              <w:rPr>
                <w:noProof/>
                <w:sz w:val="28"/>
                <w:szCs w:val="28"/>
              </w:rPr>
              <w:fldChar w:fldCharType="begin"/>
            </w:r>
            <w:r w:rsidRPr="00B36DCE">
              <w:rPr>
                <w:noProof/>
                <w:sz w:val="28"/>
                <w:szCs w:val="28"/>
              </w:rPr>
              <w:instrText xml:space="preserve"> PAGEREF _Toc241214821 \h </w:instrText>
            </w:r>
            <w:r w:rsidRPr="00B36DCE">
              <w:rPr>
                <w:noProof/>
                <w:sz w:val="28"/>
                <w:szCs w:val="28"/>
              </w:rPr>
            </w:r>
            <w:r w:rsidRPr="00B36DCE">
              <w:rPr>
                <w:noProof/>
                <w:sz w:val="28"/>
                <w:szCs w:val="28"/>
              </w:rPr>
              <w:fldChar w:fldCharType="separate"/>
            </w:r>
            <w:r w:rsidRPr="00B36DCE">
              <w:rPr>
                <w:noProof/>
                <w:sz w:val="28"/>
                <w:szCs w:val="28"/>
              </w:rPr>
              <w:t>7</w:t>
            </w:r>
            <w:r w:rsidRPr="00B36DCE">
              <w:rPr>
                <w:noProof/>
                <w:sz w:val="28"/>
                <w:szCs w:val="28"/>
              </w:rPr>
              <w:fldChar w:fldCharType="end"/>
            </w:r>
          </w:hyperlink>
        </w:p>
        <w:p w:rsidR="00B36DCE" w:rsidRPr="00B36DCE" w:rsidRDefault="00B36DCE">
          <w:pPr>
            <w:pStyle w:val="TOC2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41214822" w:history="1">
            <w:r w:rsidRPr="00B36DCE">
              <w:rPr>
                <w:rStyle w:val="Hyperlink"/>
                <w:noProof/>
                <w:sz w:val="28"/>
                <w:szCs w:val="28"/>
              </w:rPr>
              <w:t>6.1 For Policymakers</w:t>
            </w:r>
            <w:r w:rsidRPr="00B36DCE">
              <w:rPr>
                <w:noProof/>
                <w:sz w:val="28"/>
                <w:szCs w:val="28"/>
              </w:rPr>
              <w:tab/>
            </w:r>
            <w:r w:rsidRPr="00B36DCE">
              <w:rPr>
                <w:noProof/>
                <w:sz w:val="28"/>
                <w:szCs w:val="28"/>
              </w:rPr>
              <w:fldChar w:fldCharType="begin"/>
            </w:r>
            <w:r w:rsidRPr="00B36DCE">
              <w:rPr>
                <w:noProof/>
                <w:sz w:val="28"/>
                <w:szCs w:val="28"/>
              </w:rPr>
              <w:instrText xml:space="preserve"> PAGEREF _Toc241214822 \h </w:instrText>
            </w:r>
            <w:r w:rsidRPr="00B36DCE">
              <w:rPr>
                <w:noProof/>
                <w:sz w:val="28"/>
                <w:szCs w:val="28"/>
              </w:rPr>
            </w:r>
            <w:r w:rsidRPr="00B36DCE">
              <w:rPr>
                <w:noProof/>
                <w:sz w:val="28"/>
                <w:szCs w:val="28"/>
              </w:rPr>
              <w:fldChar w:fldCharType="separate"/>
            </w:r>
            <w:r w:rsidRPr="00B36DCE">
              <w:rPr>
                <w:noProof/>
                <w:sz w:val="28"/>
                <w:szCs w:val="28"/>
              </w:rPr>
              <w:t>7</w:t>
            </w:r>
            <w:r w:rsidRPr="00B36DCE">
              <w:rPr>
                <w:noProof/>
                <w:sz w:val="28"/>
                <w:szCs w:val="28"/>
              </w:rPr>
              <w:fldChar w:fldCharType="end"/>
            </w:r>
          </w:hyperlink>
        </w:p>
        <w:p w:rsidR="00B36DCE" w:rsidRPr="00B36DCE" w:rsidRDefault="00B36DCE">
          <w:pPr>
            <w:pStyle w:val="TOC2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41214823" w:history="1">
            <w:r w:rsidRPr="00B36DCE">
              <w:rPr>
                <w:rStyle w:val="Hyperlink"/>
                <w:noProof/>
                <w:sz w:val="28"/>
                <w:szCs w:val="28"/>
              </w:rPr>
              <w:t>6.2 For Digital Service Managers</w:t>
            </w:r>
            <w:r w:rsidRPr="00B36DCE">
              <w:rPr>
                <w:noProof/>
                <w:sz w:val="28"/>
                <w:szCs w:val="28"/>
              </w:rPr>
              <w:tab/>
            </w:r>
            <w:r w:rsidRPr="00B36DCE">
              <w:rPr>
                <w:noProof/>
                <w:sz w:val="28"/>
                <w:szCs w:val="28"/>
              </w:rPr>
              <w:fldChar w:fldCharType="begin"/>
            </w:r>
            <w:r w:rsidRPr="00B36DCE">
              <w:rPr>
                <w:noProof/>
                <w:sz w:val="28"/>
                <w:szCs w:val="28"/>
              </w:rPr>
              <w:instrText xml:space="preserve"> PAGEREF _Toc241214823 \h </w:instrText>
            </w:r>
            <w:r w:rsidRPr="00B36DCE">
              <w:rPr>
                <w:noProof/>
                <w:sz w:val="28"/>
                <w:szCs w:val="28"/>
              </w:rPr>
            </w:r>
            <w:r w:rsidRPr="00B36DCE">
              <w:rPr>
                <w:noProof/>
                <w:sz w:val="28"/>
                <w:szCs w:val="28"/>
              </w:rPr>
              <w:fldChar w:fldCharType="separate"/>
            </w:r>
            <w:r w:rsidRPr="00B36DCE">
              <w:rPr>
                <w:noProof/>
                <w:sz w:val="28"/>
                <w:szCs w:val="28"/>
              </w:rPr>
              <w:t>7</w:t>
            </w:r>
            <w:r w:rsidRPr="00B36DCE">
              <w:rPr>
                <w:noProof/>
                <w:sz w:val="28"/>
                <w:szCs w:val="28"/>
              </w:rPr>
              <w:fldChar w:fldCharType="end"/>
            </w:r>
          </w:hyperlink>
        </w:p>
        <w:p w:rsidR="00B36DCE" w:rsidRPr="00B36DCE" w:rsidRDefault="00B36DCE">
          <w:pPr>
            <w:pStyle w:val="TOC1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41214824" w:history="1">
            <w:r w:rsidRPr="00B36DCE">
              <w:rPr>
                <w:rStyle w:val="Hyperlink"/>
                <w:noProof/>
                <w:sz w:val="28"/>
                <w:szCs w:val="28"/>
              </w:rPr>
              <w:t>7. Limitations of This Internship's Analysis</w:t>
            </w:r>
            <w:r w:rsidRPr="00B36DCE">
              <w:rPr>
                <w:noProof/>
                <w:sz w:val="28"/>
                <w:szCs w:val="28"/>
              </w:rPr>
              <w:tab/>
            </w:r>
            <w:r w:rsidRPr="00B36DCE">
              <w:rPr>
                <w:noProof/>
                <w:sz w:val="28"/>
                <w:szCs w:val="28"/>
              </w:rPr>
              <w:fldChar w:fldCharType="begin"/>
            </w:r>
            <w:r w:rsidRPr="00B36DCE">
              <w:rPr>
                <w:noProof/>
                <w:sz w:val="28"/>
                <w:szCs w:val="28"/>
              </w:rPr>
              <w:instrText xml:space="preserve"> PAGEREF _Toc241214824 \h </w:instrText>
            </w:r>
            <w:r w:rsidRPr="00B36DCE">
              <w:rPr>
                <w:noProof/>
                <w:sz w:val="28"/>
                <w:szCs w:val="28"/>
              </w:rPr>
            </w:r>
            <w:r w:rsidRPr="00B36DCE">
              <w:rPr>
                <w:noProof/>
                <w:sz w:val="28"/>
                <w:szCs w:val="28"/>
              </w:rPr>
              <w:fldChar w:fldCharType="separate"/>
            </w:r>
            <w:r w:rsidRPr="00B36DCE">
              <w:rPr>
                <w:noProof/>
                <w:sz w:val="28"/>
                <w:szCs w:val="28"/>
              </w:rPr>
              <w:t>8</w:t>
            </w:r>
            <w:r w:rsidRPr="00B36DCE">
              <w:rPr>
                <w:noProof/>
                <w:sz w:val="28"/>
                <w:szCs w:val="28"/>
              </w:rPr>
              <w:fldChar w:fldCharType="end"/>
            </w:r>
          </w:hyperlink>
        </w:p>
        <w:p w:rsidR="00B36DCE" w:rsidRPr="00B36DCE" w:rsidRDefault="00B36DCE">
          <w:pPr>
            <w:pStyle w:val="TOC1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41214825" w:history="1">
            <w:r w:rsidRPr="00B36DCE">
              <w:rPr>
                <w:rStyle w:val="Hyperlink"/>
                <w:noProof/>
                <w:sz w:val="28"/>
                <w:szCs w:val="28"/>
              </w:rPr>
              <w:t>8. Conclusion</w:t>
            </w:r>
            <w:r w:rsidRPr="00B36DCE">
              <w:rPr>
                <w:noProof/>
                <w:sz w:val="28"/>
                <w:szCs w:val="28"/>
              </w:rPr>
              <w:tab/>
            </w:r>
            <w:r w:rsidRPr="00B36DCE">
              <w:rPr>
                <w:noProof/>
                <w:sz w:val="28"/>
                <w:szCs w:val="28"/>
              </w:rPr>
              <w:fldChar w:fldCharType="begin"/>
            </w:r>
            <w:r w:rsidRPr="00B36DCE">
              <w:rPr>
                <w:noProof/>
                <w:sz w:val="28"/>
                <w:szCs w:val="28"/>
              </w:rPr>
              <w:instrText xml:space="preserve"> PAGEREF _Toc241214825 \h </w:instrText>
            </w:r>
            <w:r w:rsidRPr="00B36DCE">
              <w:rPr>
                <w:noProof/>
                <w:sz w:val="28"/>
                <w:szCs w:val="28"/>
              </w:rPr>
            </w:r>
            <w:r w:rsidRPr="00B36DCE">
              <w:rPr>
                <w:noProof/>
                <w:sz w:val="28"/>
                <w:szCs w:val="28"/>
              </w:rPr>
              <w:fldChar w:fldCharType="separate"/>
            </w:r>
            <w:r w:rsidRPr="00B36DCE">
              <w:rPr>
                <w:noProof/>
                <w:sz w:val="28"/>
                <w:szCs w:val="28"/>
              </w:rPr>
              <w:t>8</w:t>
            </w:r>
            <w:r w:rsidRPr="00B36DCE">
              <w:rPr>
                <w:noProof/>
                <w:sz w:val="28"/>
                <w:szCs w:val="28"/>
              </w:rPr>
              <w:fldChar w:fldCharType="end"/>
            </w:r>
          </w:hyperlink>
        </w:p>
        <w:p w:rsidR="005A2F31" w:rsidRPr="00B36DCE" w:rsidRDefault="00011B6D">
          <w:pPr>
            <w:rPr>
              <w:sz w:val="28"/>
              <w:szCs w:val="28"/>
            </w:rPr>
          </w:pPr>
          <w:r w:rsidRPr="00B36DCE">
            <w:rPr>
              <w:sz w:val="28"/>
              <w:szCs w:val="28"/>
            </w:rPr>
            <w:fldChar w:fldCharType="end"/>
          </w:r>
        </w:p>
      </w:sdtContent>
    </w:sdt>
    <w:p w:rsidR="005A2F31" w:rsidRPr="00B36DCE" w:rsidRDefault="00011B6D">
      <w:pPr>
        <w:rPr>
          <w:sz w:val="28"/>
          <w:szCs w:val="28"/>
        </w:rPr>
      </w:pPr>
      <w:r w:rsidRPr="00B36DCE">
        <w:rPr>
          <w:sz w:val="28"/>
          <w:szCs w:val="28"/>
        </w:rPr>
        <w:br w:type="page"/>
      </w:r>
    </w:p>
    <w:p w:rsidR="005A2F31" w:rsidRPr="00B36DCE" w:rsidRDefault="00011B6D">
      <w:pPr>
        <w:pStyle w:val="Heading1"/>
        <w:rPr>
          <w:sz w:val="32"/>
          <w:szCs w:val="32"/>
        </w:rPr>
      </w:pPr>
      <w:bookmarkStart w:id="1" w:name="_Toc241214810"/>
      <w:r w:rsidRPr="00B36DCE">
        <w:rPr>
          <w:sz w:val="32"/>
          <w:szCs w:val="32"/>
        </w:rPr>
        <w:lastRenderedPageBreak/>
        <w:t>1. Executive Summary</w:t>
      </w:r>
      <w:bookmarkEnd w:id="1"/>
    </w:p>
    <w:p w:rsidR="005A2F31" w:rsidRPr="00B36DCE" w:rsidRDefault="00011B6D">
      <w:pPr>
        <w:spacing w:after="160" w:line="276" w:lineRule="auto"/>
        <w:rPr>
          <w:sz w:val="28"/>
          <w:szCs w:val="28"/>
        </w:rPr>
      </w:pPr>
      <w:r w:rsidRPr="00B36DCE">
        <w:rPr>
          <w:sz w:val="28"/>
          <w:szCs w:val="28"/>
        </w:rPr>
        <w:t>This report synthesizes five weeks of applied data-analyst work on India's e-governance digital service ecosystem into a single, comprehensive evaluation. It summarizes the methods used at each phase, critically assesses their strengths and weaknesses, dra</w:t>
      </w:r>
      <w:r w:rsidRPr="00B36DCE">
        <w:rPr>
          <w:sz w:val="28"/>
          <w:szCs w:val="28"/>
        </w:rPr>
        <w:t>ws together the key findings into a unified narrative about digital transformation, and closes with actionable, feasible recommendations for policymakers and digital service managers.</w:t>
      </w:r>
    </w:p>
    <w:p w:rsidR="005A2F31" w:rsidRPr="00B36DCE" w:rsidRDefault="00011B6D">
      <w:pPr>
        <w:spacing w:after="160" w:line="276" w:lineRule="auto"/>
        <w:rPr>
          <w:sz w:val="28"/>
          <w:szCs w:val="28"/>
        </w:rPr>
      </w:pPr>
      <w:r w:rsidRPr="00B36DCE">
        <w:rPr>
          <w:sz w:val="28"/>
          <w:szCs w:val="28"/>
        </w:rPr>
        <w:t>As a final validation exercise, this report also applies the same analyt</w:t>
      </w:r>
      <w:r w:rsidRPr="00B36DCE">
        <w:rPr>
          <w:sz w:val="28"/>
          <w:szCs w:val="28"/>
        </w:rPr>
        <w:t>ical habits developed across Weeks 1-5 — real-data-first sourcing, explicit precision flagging, and cautious trend extrapolation — to a third, previously unused Government of India resource: DARPG's Centralized Public Grievance Redress and Monitoring Syste</w:t>
      </w:r>
      <w:r w:rsidRPr="00B36DCE">
        <w:rPr>
          <w:sz w:val="28"/>
          <w:szCs w:val="28"/>
        </w:rPr>
        <w:t>m (CPGRAMS). This confirms the analytical framework generalizes beyond the two resources (UIDAI, NPCI) used earlier, and itself surfaces a genuine, actionable finding: CPGRAMS grievance pendency at the State/UT level rose 6.6% across three confirmed months</w:t>
      </w:r>
      <w:r w:rsidRPr="00B36DCE">
        <w:rPr>
          <w:sz w:val="28"/>
          <w:szCs w:val="28"/>
        </w:rPr>
        <w:t xml:space="preserve"> even while the disposal-to-received ratio averaged above 1.0 — a pattern worth investigating rather than assuming that fast disposal alone resolves backlog.</w:t>
      </w:r>
    </w:p>
    <w:p w:rsidR="005A2F31" w:rsidRPr="00B36DCE" w:rsidRDefault="00011B6D">
      <w:pPr>
        <w:pStyle w:val="Heading1"/>
        <w:rPr>
          <w:sz w:val="32"/>
          <w:szCs w:val="32"/>
        </w:rPr>
      </w:pPr>
      <w:bookmarkStart w:id="2" w:name="_Toc241214811"/>
      <w:r w:rsidRPr="00B36DCE">
        <w:rPr>
          <w:sz w:val="32"/>
          <w:szCs w:val="32"/>
        </w:rPr>
        <w:t>2. Introduction and Objective</w:t>
      </w:r>
      <w:bookmarkEnd w:id="2"/>
    </w:p>
    <w:p w:rsidR="005A2F31" w:rsidRPr="00B36DCE" w:rsidRDefault="00011B6D">
      <w:pPr>
        <w:spacing w:after="160" w:line="276" w:lineRule="auto"/>
        <w:rPr>
          <w:sz w:val="28"/>
          <w:szCs w:val="28"/>
        </w:rPr>
      </w:pPr>
      <w:r w:rsidRPr="00B36DCE">
        <w:rPr>
          <w:sz w:val="28"/>
          <w:szCs w:val="28"/>
        </w:rPr>
        <w:t>The objective of this final evaluation is threefold: (1) provide a c</w:t>
      </w:r>
      <w:r w:rsidRPr="00B36DCE">
        <w:rPr>
          <w:sz w:val="28"/>
          <w:szCs w:val="28"/>
        </w:rPr>
        <w:t xml:space="preserve">lear, organized summary of the strategic planning, data collection, exploratory analysis, statistical analysis, and predictive </w:t>
      </w:r>
      <w:proofErr w:type="spellStart"/>
      <w:r w:rsidRPr="00B36DCE">
        <w:rPr>
          <w:sz w:val="28"/>
          <w:szCs w:val="28"/>
        </w:rPr>
        <w:t>modeling</w:t>
      </w:r>
      <w:proofErr w:type="spellEnd"/>
      <w:r w:rsidRPr="00B36DCE">
        <w:rPr>
          <w:sz w:val="28"/>
          <w:szCs w:val="28"/>
        </w:rPr>
        <w:t xml:space="preserve"> carried out in Weeks 1-5; (2) critically assess what worked, what did not, and how challenges were resolved at each stag</w:t>
      </w:r>
      <w:r w:rsidRPr="00B36DCE">
        <w:rPr>
          <w:sz w:val="28"/>
          <w:szCs w:val="28"/>
        </w:rPr>
        <w:t>e; and (3) synthesize the resulting insights into coherent, actionable recommendations for improving India's digital public services — while validating that the approach transfers to new data.</w:t>
      </w:r>
    </w:p>
    <w:p w:rsidR="005A2F31" w:rsidRPr="00B36DCE" w:rsidRDefault="00011B6D">
      <w:pPr>
        <w:pStyle w:val="Heading1"/>
        <w:rPr>
          <w:sz w:val="32"/>
          <w:szCs w:val="32"/>
        </w:rPr>
      </w:pPr>
      <w:bookmarkStart w:id="3" w:name="_Toc241214812"/>
      <w:r w:rsidRPr="00B36DCE">
        <w:rPr>
          <w:sz w:val="32"/>
          <w:szCs w:val="32"/>
        </w:rPr>
        <w:t>3. Summary of Processes and Methods</w:t>
      </w:r>
      <w:bookmarkEnd w:id="3"/>
    </w:p>
    <w:p w:rsidR="005A2F31" w:rsidRDefault="00011B6D">
      <w:pPr>
        <w:spacing w:after="160" w:line="276" w:lineRule="auto"/>
        <w:rPr>
          <w:sz w:val="28"/>
          <w:szCs w:val="28"/>
        </w:rPr>
      </w:pPr>
      <w:r w:rsidRPr="00B36DCE">
        <w:rPr>
          <w:sz w:val="28"/>
          <w:szCs w:val="28"/>
        </w:rPr>
        <w:t xml:space="preserve">The table below summarizes </w:t>
      </w:r>
      <w:r w:rsidRPr="00B36DCE">
        <w:rPr>
          <w:sz w:val="28"/>
          <w:szCs w:val="28"/>
        </w:rPr>
        <w:t xml:space="preserve">the resource, technique, and deliverable for each phase of the internship, showing a deliberate progression: from planning (no data), through collection and cleaning (largest real dataset), through increasingly sophisticated analysis (EDA -&gt; statistics -&gt; </w:t>
      </w:r>
      <w:r w:rsidRPr="00B36DCE">
        <w:rPr>
          <w:sz w:val="28"/>
          <w:szCs w:val="28"/>
        </w:rPr>
        <w:t>forecasting), to this final synthesis and validation phase.</w:t>
      </w:r>
    </w:p>
    <w:p w:rsidR="00B36DCE" w:rsidRDefault="00B36DCE">
      <w:pPr>
        <w:spacing w:after="160" w:line="276" w:lineRule="auto"/>
        <w:rPr>
          <w:sz w:val="28"/>
          <w:szCs w:val="28"/>
        </w:rPr>
      </w:pPr>
    </w:p>
    <w:p w:rsidR="00B36DCE" w:rsidRPr="00B36DCE" w:rsidRDefault="00B36DCE">
      <w:pPr>
        <w:spacing w:after="160" w:line="276" w:lineRule="auto"/>
        <w:rPr>
          <w:sz w:val="28"/>
          <w:szCs w:val="28"/>
        </w:rPr>
      </w:pPr>
    </w:p>
    <w:tbl>
      <w:tblPr>
        <w:tblW w:w="1039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5"/>
        <w:gridCol w:w="2323"/>
        <w:gridCol w:w="2654"/>
        <w:gridCol w:w="2544"/>
        <w:gridCol w:w="1880"/>
      </w:tblGrid>
      <w:tr w:rsidR="005A2F31" w:rsidTr="00B36DCE">
        <w:tblPrEx>
          <w:tblCellMar>
            <w:top w:w="0" w:type="dxa"/>
            <w:bottom w:w="0" w:type="dxa"/>
          </w:tblCellMar>
        </w:tblPrEx>
        <w:trPr>
          <w:cantSplit/>
          <w:trHeight w:val="303"/>
          <w:tblHeader/>
        </w:trPr>
        <w:tc>
          <w:tcPr>
            <w:tcW w:w="995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b/>
                <w:bCs/>
                <w:color w:val="FFFFFF"/>
                <w:sz w:val="24"/>
                <w:szCs w:val="24"/>
              </w:rPr>
              <w:lastRenderedPageBreak/>
              <w:t>Week</w:t>
            </w:r>
          </w:p>
        </w:tc>
        <w:tc>
          <w:tcPr>
            <w:tcW w:w="2323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b/>
                <w:bCs/>
                <w:color w:val="FFFFFF"/>
                <w:sz w:val="24"/>
                <w:szCs w:val="24"/>
              </w:rPr>
              <w:t>Task</w:t>
            </w:r>
          </w:p>
        </w:tc>
        <w:tc>
          <w:tcPr>
            <w:tcW w:w="2654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b/>
                <w:bCs/>
                <w:color w:val="FFFFFF"/>
                <w:sz w:val="24"/>
                <w:szCs w:val="24"/>
              </w:rPr>
              <w:t>Dataset / Resource</w:t>
            </w:r>
          </w:p>
        </w:tc>
        <w:tc>
          <w:tcPr>
            <w:tcW w:w="2544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b/>
                <w:bCs/>
                <w:color w:val="FFFFFF"/>
                <w:sz w:val="24"/>
                <w:szCs w:val="24"/>
              </w:rPr>
              <w:t>Key Technique(s)</w:t>
            </w:r>
          </w:p>
        </w:tc>
        <w:tc>
          <w:tcPr>
            <w:tcW w:w="18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b/>
                <w:bCs/>
                <w:color w:val="FFFFFF"/>
                <w:sz w:val="24"/>
                <w:szCs w:val="24"/>
              </w:rPr>
              <w:t>Deliverable</w:t>
            </w:r>
          </w:p>
        </w:tc>
      </w:tr>
      <w:tr w:rsidR="005A2F31" w:rsidTr="00B36DCE">
        <w:tblPrEx>
          <w:tblCellMar>
            <w:top w:w="0" w:type="dxa"/>
            <w:bottom w:w="0" w:type="dxa"/>
          </w:tblCellMar>
        </w:tblPrEx>
        <w:trPr>
          <w:cantSplit/>
          <w:trHeight w:val="883"/>
        </w:trPr>
        <w:tc>
          <w:tcPr>
            <w:tcW w:w="9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3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Strategic Planning</w:t>
            </w:r>
          </w:p>
        </w:tc>
        <w:tc>
          <w:tcPr>
            <w:tcW w:w="26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N/A (planning only)</w:t>
            </w:r>
          </w:p>
        </w:tc>
        <w:tc>
          <w:tcPr>
            <w:tcW w:w="2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KPI framework design, 6-stage analytical pipeline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Strategic plan (DOC)</w:t>
            </w:r>
          </w:p>
        </w:tc>
      </w:tr>
      <w:tr w:rsidR="005A2F31" w:rsidTr="00B36DCE">
        <w:tblPrEx>
          <w:tblCellMar>
            <w:top w:w="0" w:type="dxa"/>
            <w:bottom w:w="0" w:type="dxa"/>
          </w:tblCellMar>
        </w:tblPrEx>
        <w:trPr>
          <w:cantSplit/>
          <w:trHeight w:val="1476"/>
        </w:trPr>
        <w:tc>
          <w:tcPr>
            <w:tcW w:w="9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3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Data Collection &amp;</w:t>
            </w:r>
            <w:r w:rsidRPr="00B36DCE">
              <w:rPr>
                <w:color w:val="000000"/>
                <w:sz w:val="24"/>
                <w:szCs w:val="24"/>
              </w:rPr>
              <w:t xml:space="preserve"> Cleaning</w:t>
            </w:r>
          </w:p>
        </w:tc>
        <w:tc>
          <w:tcPr>
            <w:tcW w:w="26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 xml:space="preserve">UIDAI </w:t>
            </w:r>
            <w:proofErr w:type="spellStart"/>
            <w:r w:rsidRPr="00B36DCE">
              <w:rPr>
                <w:color w:val="000000"/>
                <w:sz w:val="24"/>
                <w:szCs w:val="24"/>
              </w:rPr>
              <w:t>Aadhaar</w:t>
            </w:r>
            <w:proofErr w:type="spellEnd"/>
            <w:r w:rsidRPr="00B36DCE">
              <w:rPr>
                <w:color w:val="000000"/>
                <w:sz w:val="24"/>
                <w:szCs w:val="24"/>
              </w:rPr>
              <w:t xml:space="preserve"> (440,818 rows) + UMANG/</w:t>
            </w:r>
            <w:proofErr w:type="spellStart"/>
            <w:r w:rsidRPr="00B36DCE">
              <w:rPr>
                <w:color w:val="000000"/>
                <w:sz w:val="24"/>
                <w:szCs w:val="24"/>
              </w:rPr>
              <w:t>DigiLocker</w:t>
            </w:r>
            <w:proofErr w:type="spellEnd"/>
            <w:r w:rsidRPr="00B36DCE">
              <w:rPr>
                <w:color w:val="000000"/>
                <w:sz w:val="24"/>
                <w:szCs w:val="24"/>
              </w:rPr>
              <w:t xml:space="preserve"> national stats</w:t>
            </w:r>
          </w:p>
        </w:tc>
        <w:tc>
          <w:tcPr>
            <w:tcW w:w="2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Missing-value/duplicate checks, whitespace standardisation, bias audit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DOC + cleaned CSVs</w:t>
            </w:r>
          </w:p>
        </w:tc>
      </w:tr>
      <w:tr w:rsidR="005A2F31" w:rsidTr="00B36DCE">
        <w:tblPrEx>
          <w:tblCellMar>
            <w:top w:w="0" w:type="dxa"/>
            <w:bottom w:w="0" w:type="dxa"/>
          </w:tblCellMar>
        </w:tblPrEx>
        <w:trPr>
          <w:cantSplit/>
          <w:trHeight w:val="1186"/>
        </w:trPr>
        <w:tc>
          <w:tcPr>
            <w:tcW w:w="9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23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Exploratory Data Analysis</w:t>
            </w:r>
          </w:p>
        </w:tc>
        <w:tc>
          <w:tcPr>
            <w:tcW w:w="26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 xml:space="preserve">UIDAI </w:t>
            </w:r>
            <w:proofErr w:type="spellStart"/>
            <w:r w:rsidRPr="00B36DCE">
              <w:rPr>
                <w:color w:val="000000"/>
                <w:sz w:val="24"/>
                <w:szCs w:val="24"/>
              </w:rPr>
              <w:t>Aadhaar</w:t>
            </w:r>
            <w:proofErr w:type="spellEnd"/>
            <w:r w:rsidRPr="00B36DCE">
              <w:rPr>
                <w:color w:val="000000"/>
                <w:sz w:val="24"/>
                <w:szCs w:val="24"/>
              </w:rPr>
              <w:t xml:space="preserve"> (440,817 cleaned rows)</w:t>
            </w:r>
          </w:p>
        </w:tc>
        <w:tc>
          <w:tcPr>
            <w:tcW w:w="2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Descriptive stats, 4 hypotheses, 6 annotated visualizations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DOC + notebook + dashboard</w:t>
            </w:r>
          </w:p>
        </w:tc>
      </w:tr>
      <w:tr w:rsidR="005A2F31" w:rsidTr="00B36DCE">
        <w:tblPrEx>
          <w:tblCellMar>
            <w:top w:w="0" w:type="dxa"/>
            <w:bottom w:w="0" w:type="dxa"/>
          </w:tblCellMar>
        </w:tblPrEx>
        <w:trPr>
          <w:cantSplit/>
          <w:trHeight w:val="1186"/>
        </w:trPr>
        <w:tc>
          <w:tcPr>
            <w:tcW w:w="9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23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Statistical Analysis</w:t>
            </w:r>
          </w:p>
        </w:tc>
        <w:tc>
          <w:tcPr>
            <w:tcW w:w="26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 xml:space="preserve">UIDAI (real) + </w:t>
            </w:r>
            <w:proofErr w:type="spellStart"/>
            <w:r w:rsidRPr="00B36DCE">
              <w:rPr>
                <w:color w:val="000000"/>
                <w:sz w:val="24"/>
                <w:szCs w:val="24"/>
              </w:rPr>
              <w:t>DigiLocker</w:t>
            </w:r>
            <w:proofErr w:type="spellEnd"/>
            <w:r w:rsidRPr="00B36DCE">
              <w:rPr>
                <w:color w:val="000000"/>
                <w:sz w:val="24"/>
                <w:szCs w:val="24"/>
              </w:rPr>
              <w:t xml:space="preserve"> rating (real anchor) + simulated satisfaction</w:t>
            </w:r>
          </w:p>
        </w:tc>
        <w:tc>
          <w:tcPr>
            <w:tcW w:w="2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Pearson correlation, OLS regression, Welch's t-test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DOC + notebook + dashboard</w:t>
            </w:r>
          </w:p>
        </w:tc>
      </w:tr>
      <w:tr w:rsidR="005A2F31" w:rsidTr="00B36DCE">
        <w:tblPrEx>
          <w:tblCellMar>
            <w:top w:w="0" w:type="dxa"/>
            <w:bottom w:w="0" w:type="dxa"/>
          </w:tblCellMar>
        </w:tblPrEx>
        <w:trPr>
          <w:cantSplit/>
          <w:trHeight w:val="1186"/>
        </w:trPr>
        <w:tc>
          <w:tcPr>
            <w:tcW w:w="9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23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 xml:space="preserve">Predictive </w:t>
            </w:r>
            <w:proofErr w:type="spellStart"/>
            <w:r w:rsidRPr="00B36DCE">
              <w:rPr>
                <w:color w:val="000000"/>
                <w:sz w:val="24"/>
                <w:szCs w:val="24"/>
              </w:rPr>
              <w:t>Modeling</w:t>
            </w:r>
            <w:proofErr w:type="spellEnd"/>
          </w:p>
        </w:tc>
        <w:tc>
          <w:tcPr>
            <w:tcW w:w="26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NPCI / PIB UPI transaction volume</w:t>
            </w:r>
          </w:p>
        </w:tc>
        <w:tc>
          <w:tcPr>
            <w:tcW w:w="2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Linear regression, Holt's exponential smoothing, log-linear growth model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DOC + notebook + dashboard</w:t>
            </w:r>
          </w:p>
        </w:tc>
      </w:tr>
      <w:tr w:rsidR="005A2F31" w:rsidTr="00B36DCE">
        <w:tblPrEx>
          <w:tblCellMar>
            <w:top w:w="0" w:type="dxa"/>
            <w:bottom w:w="0" w:type="dxa"/>
          </w:tblCellMar>
        </w:tblPrEx>
        <w:trPr>
          <w:cantSplit/>
          <w:trHeight w:val="1174"/>
        </w:trPr>
        <w:tc>
          <w:tcPr>
            <w:tcW w:w="9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232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Comprehensive Evaluation</w:t>
            </w:r>
          </w:p>
        </w:tc>
        <w:tc>
          <w:tcPr>
            <w:tcW w:w="26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DARPG / CPGRAMS grievance data (new, 3rd res</w:t>
            </w:r>
            <w:r w:rsidRPr="00B36DCE">
              <w:rPr>
                <w:color w:val="000000"/>
                <w:sz w:val="24"/>
                <w:szCs w:val="24"/>
              </w:rPr>
              <w:t>ource)</w:t>
            </w:r>
          </w:p>
        </w:tc>
        <w:tc>
          <w:tcPr>
            <w:tcW w:w="25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Synthesis, cross-phase critical analysis, validation regression</w:t>
            </w: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This report</w:t>
            </w:r>
          </w:p>
        </w:tc>
      </w:tr>
    </w:tbl>
    <w:p w:rsidR="005A2F31" w:rsidRDefault="005A2F31">
      <w:pPr>
        <w:spacing w:after="200"/>
      </w:pPr>
    </w:p>
    <w:p w:rsidR="005A2F31" w:rsidRPr="00B36DCE" w:rsidRDefault="00011B6D">
      <w:pPr>
        <w:pStyle w:val="Heading1"/>
        <w:rPr>
          <w:sz w:val="32"/>
          <w:szCs w:val="32"/>
        </w:rPr>
      </w:pPr>
      <w:bookmarkStart w:id="4" w:name="_Toc241214813"/>
      <w:r w:rsidRPr="00B36DCE">
        <w:rPr>
          <w:sz w:val="32"/>
          <w:szCs w:val="32"/>
        </w:rPr>
        <w:t>4. Critical Analysis of Methodologies</w:t>
      </w:r>
      <w:bookmarkEnd w:id="4"/>
    </w:p>
    <w:p w:rsidR="005A2F31" w:rsidRPr="00B36DCE" w:rsidRDefault="00011B6D">
      <w:pPr>
        <w:spacing w:after="160" w:line="276" w:lineRule="auto"/>
        <w:rPr>
          <w:sz w:val="28"/>
          <w:szCs w:val="28"/>
        </w:rPr>
      </w:pPr>
      <w:r w:rsidRPr="00B36DCE">
        <w:rPr>
          <w:sz w:val="28"/>
          <w:szCs w:val="28"/>
        </w:rPr>
        <w:t>Table 2 sets the strength of each phase directly against its central weakness, rather than listing them separately — this makes the trade-offs, not just the achievements, visible.</w:t>
      </w:r>
    </w:p>
    <w:tbl>
      <w:tblPr>
        <w:tblW w:w="9933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0"/>
        <w:gridCol w:w="3556"/>
        <w:gridCol w:w="4087"/>
      </w:tblGrid>
      <w:tr w:rsidR="005A2F31" w:rsidTr="00B36DC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9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b/>
                <w:bCs/>
                <w:color w:val="FFFFFF"/>
                <w:sz w:val="24"/>
                <w:szCs w:val="24"/>
              </w:rPr>
              <w:t>Phase</w:t>
            </w:r>
          </w:p>
        </w:tc>
        <w:tc>
          <w:tcPr>
            <w:tcW w:w="355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b/>
                <w:bCs/>
                <w:color w:val="FFFFFF"/>
                <w:sz w:val="24"/>
                <w:szCs w:val="24"/>
              </w:rPr>
              <w:t>Strength</w:t>
            </w:r>
          </w:p>
        </w:tc>
        <w:tc>
          <w:tcPr>
            <w:tcW w:w="4087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b/>
                <w:bCs/>
                <w:color w:val="FFFFFF"/>
                <w:sz w:val="24"/>
                <w:szCs w:val="24"/>
              </w:rPr>
              <w:t>Weakness / Limitation</w:t>
            </w:r>
          </w:p>
        </w:tc>
      </w:tr>
      <w:tr w:rsidR="005A2F31" w:rsidTr="00B36DC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Week 1 (Planning)</w:t>
            </w:r>
          </w:p>
        </w:tc>
        <w:tc>
          <w:tcPr>
            <w:tcW w:w="35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Framework anticipated real challenges (small-sample bias, source diversity) before they occurred</w:t>
            </w:r>
          </w:p>
        </w:tc>
        <w:tc>
          <w:tcPr>
            <w:tcW w:w="40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Written without any real data in hand, so some assumptions were only validated retroactively</w:t>
            </w:r>
          </w:p>
        </w:tc>
      </w:tr>
      <w:tr w:rsidR="005A2F31" w:rsidTr="00B36DC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lastRenderedPageBreak/>
              <w:t>Week 2 (Collection/Cleaning)</w:t>
            </w:r>
          </w:p>
        </w:tc>
        <w:tc>
          <w:tcPr>
            <w:tcW w:w="35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Every cleaning step reported with an exact, measured number (e.g. 24,340 rows affected), not a general claim</w:t>
            </w:r>
          </w:p>
        </w:tc>
        <w:tc>
          <w:tcPr>
            <w:tcW w:w="40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Initial submission lacked a biases section — required a full revision cycle to reach an adequate depth</w:t>
            </w:r>
          </w:p>
        </w:tc>
      </w:tr>
      <w:tr w:rsidR="005A2F31" w:rsidTr="00B36DC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Week 3 (EDA)</w:t>
            </w:r>
          </w:p>
        </w:tc>
        <w:tc>
          <w:tcPr>
            <w:tcW w:w="35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Pre-registered 4 hypotheses be</w:t>
            </w:r>
            <w:r w:rsidRPr="00B36DCE">
              <w:rPr>
                <w:color w:val="000000"/>
                <w:sz w:val="24"/>
                <w:szCs w:val="24"/>
              </w:rPr>
              <w:t>fore testing, and reported 2 that were NOT supported</w:t>
            </w:r>
          </w:p>
        </w:tc>
        <w:tc>
          <w:tcPr>
            <w:tcW w:w="40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All findings are correlational, aggregate-level; no causal claims are actually testable from this data</w:t>
            </w:r>
          </w:p>
        </w:tc>
      </w:tr>
      <w:tr w:rsidR="005A2F31" w:rsidTr="00B36DC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Week 4 (Statistics)</w:t>
            </w:r>
          </w:p>
        </w:tc>
        <w:tc>
          <w:tcPr>
            <w:tcW w:w="35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Used a real external anchor (</w:t>
            </w:r>
            <w:proofErr w:type="spellStart"/>
            <w:r w:rsidRPr="00B36DCE">
              <w:rPr>
                <w:color w:val="000000"/>
                <w:sz w:val="24"/>
                <w:szCs w:val="24"/>
              </w:rPr>
              <w:t>DigiLocker</w:t>
            </w:r>
            <w:proofErr w:type="spellEnd"/>
            <w:r w:rsidRPr="00B36DCE">
              <w:rPr>
                <w:color w:val="000000"/>
                <w:sz w:val="24"/>
                <w:szCs w:val="24"/>
              </w:rPr>
              <w:t xml:space="preserve"> rating) for the one necessarily-simulat</w:t>
            </w:r>
            <w:r w:rsidRPr="00B36DCE">
              <w:rPr>
                <w:color w:val="000000"/>
                <w:sz w:val="24"/>
                <w:szCs w:val="24"/>
              </w:rPr>
              <w:t>ed metric, with full formula disclosure</w:t>
            </w:r>
          </w:p>
        </w:tc>
        <w:tc>
          <w:tcPr>
            <w:tcW w:w="40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A high regression R² (0.782) was partly guaranteed by the simulation's own construction — a risk of circular validation if not flagged</w:t>
            </w:r>
          </w:p>
        </w:tc>
      </w:tr>
      <w:tr w:rsidR="005A2F31" w:rsidTr="00B36DC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Week 5 (Forecasting)</w:t>
            </w:r>
          </w:p>
        </w:tc>
        <w:tc>
          <w:tcPr>
            <w:tcW w:w="35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Compared two models and treated their forecast disagreement</w:t>
            </w:r>
            <w:r w:rsidRPr="00B36DCE">
              <w:rPr>
                <w:color w:val="000000"/>
                <w:sz w:val="24"/>
                <w:szCs w:val="24"/>
              </w:rPr>
              <w:t xml:space="preserve"> as a genuine finding, not noise to average away</w:t>
            </w:r>
          </w:p>
        </w:tc>
        <w:tc>
          <w:tcPr>
            <w:tcW w:w="40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Only 13 monthly data points — too short to model real seasonality; 5 of 13 were interpolated, not observed</w:t>
            </w:r>
          </w:p>
        </w:tc>
      </w:tr>
      <w:tr w:rsidR="005A2F31" w:rsidTr="00B36DC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Week 6 (Synthesis)</w:t>
            </w:r>
          </w:p>
        </w:tc>
        <w:tc>
          <w:tcPr>
            <w:tcW w:w="35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Validated the same analytical habits (real-anchor sourcing, explicit precision f</w:t>
            </w:r>
            <w:r w:rsidRPr="00B36DCE">
              <w:rPr>
                <w:color w:val="000000"/>
                <w:sz w:val="24"/>
                <w:szCs w:val="24"/>
              </w:rPr>
              <w:t>lags, trend caution) on a completely new resource</w:t>
            </w:r>
          </w:p>
        </w:tc>
        <w:tc>
          <w:tcPr>
            <w:tcW w:w="40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The validation case study itself has only 7 and 4 data points respectively — illustrative, not a full re-run of Weeks 2-5's depth</w:t>
            </w:r>
          </w:p>
        </w:tc>
      </w:tr>
    </w:tbl>
    <w:p w:rsidR="005A2F31" w:rsidRDefault="005A2F31">
      <w:pPr>
        <w:spacing w:after="200"/>
      </w:pPr>
    </w:p>
    <w:p w:rsidR="005A2F31" w:rsidRPr="00B36DCE" w:rsidRDefault="00011B6D">
      <w:pPr>
        <w:pStyle w:val="Heading2"/>
        <w:rPr>
          <w:sz w:val="28"/>
          <w:szCs w:val="28"/>
        </w:rPr>
      </w:pPr>
      <w:bookmarkStart w:id="5" w:name="_Toc241214814"/>
      <w:r w:rsidRPr="00B36DCE">
        <w:rPr>
          <w:sz w:val="28"/>
          <w:szCs w:val="28"/>
        </w:rPr>
        <w:t>4.1 The Clearest Cross-Phase Pattern: Rigor Increased Under Feedback</w:t>
      </w:r>
      <w:bookmarkEnd w:id="5"/>
    </w:p>
    <w:p w:rsidR="005A2F31" w:rsidRPr="00B36DCE" w:rsidRDefault="00011B6D">
      <w:pPr>
        <w:spacing w:after="160" w:line="276" w:lineRule="auto"/>
        <w:rPr>
          <w:sz w:val="28"/>
          <w:szCs w:val="28"/>
        </w:rPr>
      </w:pPr>
      <w:r w:rsidRPr="00B36DCE">
        <w:rPr>
          <w:sz w:val="28"/>
          <w:szCs w:val="28"/>
        </w:rPr>
        <w:t>The single clearest trend across this internship is methodological: Week 2's initial submission was scored 54/100 specifically for lacking concrete numbers and a biases discussion. Every subsequent report (Weeks 3-6) built in a dedicated, evidence-backed l</w:t>
      </w:r>
      <w:r w:rsidRPr="00B36DCE">
        <w:rPr>
          <w:sz w:val="28"/>
          <w:szCs w:val="28"/>
        </w:rPr>
        <w:t xml:space="preserve">imitations section from the start, and every cleaning or </w:t>
      </w:r>
      <w:proofErr w:type="spellStart"/>
      <w:r w:rsidRPr="00B36DCE">
        <w:rPr>
          <w:sz w:val="28"/>
          <w:szCs w:val="28"/>
        </w:rPr>
        <w:t>modeling</w:t>
      </w:r>
      <w:proofErr w:type="spellEnd"/>
      <w:r w:rsidRPr="00B36DCE">
        <w:rPr>
          <w:sz w:val="28"/>
          <w:szCs w:val="28"/>
        </w:rPr>
        <w:t xml:space="preserve"> claim was anchored to an exact, reproducible figure. This is not a coincidence — it reflects a deliberate, disclosed response to specific, named feedback, and the pattern held even in this f</w:t>
      </w:r>
      <w:r w:rsidRPr="00B36DCE">
        <w:rPr>
          <w:sz w:val="28"/>
          <w:szCs w:val="28"/>
        </w:rPr>
        <w:t>inal report (Section 4 above states each phase's weakness as plainly as its strength).</w:t>
      </w:r>
    </w:p>
    <w:p w:rsidR="005A2F31" w:rsidRPr="00B36DCE" w:rsidRDefault="00011B6D">
      <w:pPr>
        <w:pStyle w:val="Heading2"/>
        <w:rPr>
          <w:sz w:val="28"/>
          <w:szCs w:val="28"/>
        </w:rPr>
      </w:pPr>
      <w:bookmarkStart w:id="6" w:name="_Toc241214815"/>
      <w:r w:rsidRPr="00B36DCE">
        <w:rPr>
          <w:sz w:val="28"/>
          <w:szCs w:val="28"/>
        </w:rPr>
        <w:t>4.2 Real Data vs. Simulation: A Consistent, Disclosed Boundary</w:t>
      </w:r>
      <w:bookmarkEnd w:id="6"/>
    </w:p>
    <w:p w:rsidR="005A2F31" w:rsidRPr="00B36DCE" w:rsidRDefault="00011B6D">
      <w:pPr>
        <w:spacing w:after="160" w:line="276" w:lineRule="auto"/>
        <w:rPr>
          <w:sz w:val="28"/>
          <w:szCs w:val="28"/>
        </w:rPr>
      </w:pPr>
      <w:r w:rsidRPr="00B36DCE">
        <w:rPr>
          <w:sz w:val="28"/>
          <w:szCs w:val="28"/>
        </w:rPr>
        <w:t>Three different data-authenticity situations arose, and each was handled with the same rule — never blur the line: (1) fully real data (UIDAI, NPCI, CPGRAMS) was used wherever available; (2) where no granular public data existed (Week 4's satisfaction metr</w:t>
      </w:r>
      <w:r w:rsidRPr="00B36DCE">
        <w:rPr>
          <w:sz w:val="28"/>
          <w:szCs w:val="28"/>
        </w:rPr>
        <w:t xml:space="preserve">ic), a real external anchor was used and the simulation formula fully disclosed; (3) </w:t>
      </w:r>
      <w:r w:rsidRPr="00B36DCE">
        <w:rPr>
          <w:sz w:val="28"/>
          <w:szCs w:val="28"/>
        </w:rPr>
        <w:lastRenderedPageBreak/>
        <w:t>where a real figure was simply missing for a specific month (Week 5's 5 interpolated months), the gap was filled transparently and flagged, never presented as observed. Th</w:t>
      </w:r>
      <w:r w:rsidRPr="00B36DCE">
        <w:rPr>
          <w:sz w:val="28"/>
          <w:szCs w:val="28"/>
        </w:rPr>
        <w:t>is is a generalizable practice, not specific to one dataset.</w:t>
      </w:r>
    </w:p>
    <w:p w:rsidR="005A2F31" w:rsidRPr="00B36DCE" w:rsidRDefault="00011B6D">
      <w:pPr>
        <w:pStyle w:val="Heading1"/>
        <w:rPr>
          <w:sz w:val="32"/>
          <w:szCs w:val="32"/>
        </w:rPr>
      </w:pPr>
      <w:bookmarkStart w:id="7" w:name="_Toc241214816"/>
      <w:r w:rsidRPr="00B36DCE">
        <w:rPr>
          <w:sz w:val="32"/>
          <w:szCs w:val="32"/>
        </w:rPr>
        <w:t xml:space="preserve">5. Insight Synthesis </w:t>
      </w:r>
      <w:proofErr w:type="gramStart"/>
      <w:r w:rsidRPr="00B36DCE">
        <w:rPr>
          <w:sz w:val="32"/>
          <w:szCs w:val="32"/>
        </w:rPr>
        <w:t>Across</w:t>
      </w:r>
      <w:proofErr w:type="gramEnd"/>
      <w:r w:rsidRPr="00B36DCE">
        <w:rPr>
          <w:sz w:val="32"/>
          <w:szCs w:val="32"/>
        </w:rPr>
        <w:t xml:space="preserve"> the Internship</w:t>
      </w:r>
      <w:bookmarkEnd w:id="7"/>
    </w:p>
    <w:p w:rsidR="005A2F31" w:rsidRPr="00B36DCE" w:rsidRDefault="00011B6D">
      <w:pPr>
        <w:pStyle w:val="Heading2"/>
        <w:rPr>
          <w:sz w:val="28"/>
          <w:szCs w:val="28"/>
        </w:rPr>
      </w:pPr>
      <w:bookmarkStart w:id="8" w:name="_Toc241214817"/>
      <w:r w:rsidRPr="00B36DCE">
        <w:rPr>
          <w:sz w:val="28"/>
          <w:szCs w:val="28"/>
        </w:rPr>
        <w:t>5.1 Digital Identity Layer — UIDAI (Weeks 1-4)</w:t>
      </w:r>
      <w:bookmarkEnd w:id="8"/>
    </w:p>
    <w:p w:rsidR="005A2F31" w:rsidRPr="00B36DCE" w:rsidRDefault="00011B6D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proofErr w:type="spellStart"/>
      <w:r w:rsidRPr="00B36DCE">
        <w:rPr>
          <w:sz w:val="28"/>
          <w:szCs w:val="28"/>
        </w:rPr>
        <w:t>Enrollment</w:t>
      </w:r>
      <w:proofErr w:type="spellEnd"/>
      <w:r w:rsidRPr="00B36DCE">
        <w:rPr>
          <w:sz w:val="28"/>
          <w:szCs w:val="28"/>
        </w:rPr>
        <w:t xml:space="preserve"> rejection is concentrated at the biometric-capture boundary: the 0-5 age group shows a 6.92% r</w:t>
      </w:r>
      <w:r w:rsidRPr="00B36DCE">
        <w:rPr>
          <w:sz w:val="28"/>
          <w:szCs w:val="28"/>
        </w:rPr>
        <w:t>ejection rate versus 2.73% for the 31-45 group — a 2.5x spread pointing to a specific, addressable technical limitation rather than a systemic failure (Week 3).</w:t>
      </w:r>
    </w:p>
    <w:p w:rsidR="005A2F31" w:rsidRPr="00B36DCE" w:rsidRDefault="00011B6D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B36DCE">
        <w:rPr>
          <w:sz w:val="28"/>
          <w:szCs w:val="28"/>
        </w:rPr>
        <w:t>Access (mobile-capture rate) and Efficiency (rejection rate) are statistically independent (r=-</w:t>
      </w:r>
      <w:r w:rsidRPr="00B36DCE">
        <w:rPr>
          <w:sz w:val="28"/>
          <w:szCs w:val="28"/>
        </w:rPr>
        <w:t>0.02, p=0.91, n=32 states) — confirmed on two separately-filtered samples (Weeks 3 and 4), meaning these are two separate policy levers, not proxies for each other.</w:t>
      </w:r>
    </w:p>
    <w:p w:rsidR="005A2F31" w:rsidRPr="00B36DCE" w:rsidRDefault="00011B6D">
      <w:pPr>
        <w:pStyle w:val="Heading2"/>
        <w:rPr>
          <w:sz w:val="28"/>
          <w:szCs w:val="28"/>
        </w:rPr>
      </w:pPr>
      <w:bookmarkStart w:id="9" w:name="_Toc241214818"/>
      <w:r w:rsidRPr="00B36DCE">
        <w:rPr>
          <w:sz w:val="28"/>
          <w:szCs w:val="28"/>
        </w:rPr>
        <w:t xml:space="preserve">5.2 Digital Service Adoption Layer — UMANG &amp; </w:t>
      </w:r>
      <w:proofErr w:type="spellStart"/>
      <w:r w:rsidRPr="00B36DCE">
        <w:rPr>
          <w:sz w:val="28"/>
          <w:szCs w:val="28"/>
        </w:rPr>
        <w:t>DigiLocker</w:t>
      </w:r>
      <w:proofErr w:type="spellEnd"/>
      <w:r w:rsidRPr="00B36DCE">
        <w:rPr>
          <w:sz w:val="28"/>
          <w:szCs w:val="28"/>
        </w:rPr>
        <w:t xml:space="preserve"> (Week 2)</w:t>
      </w:r>
      <w:bookmarkEnd w:id="9"/>
    </w:p>
    <w:p w:rsidR="005A2F31" w:rsidRPr="00B36DCE" w:rsidRDefault="00011B6D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proofErr w:type="spellStart"/>
      <w:r w:rsidRPr="00B36DCE">
        <w:rPr>
          <w:sz w:val="28"/>
          <w:szCs w:val="28"/>
        </w:rPr>
        <w:t>DigiLocker</w:t>
      </w:r>
      <w:proofErr w:type="spellEnd"/>
      <w:r w:rsidRPr="00B36DCE">
        <w:rPr>
          <w:sz w:val="28"/>
          <w:szCs w:val="28"/>
        </w:rPr>
        <w:t xml:space="preserve"> has 6x more reg</w:t>
      </w:r>
      <w:r w:rsidRPr="00B36DCE">
        <w:rPr>
          <w:sz w:val="28"/>
          <w:szCs w:val="28"/>
        </w:rPr>
        <w:t xml:space="preserve">istered users than UMANG (72.43 </w:t>
      </w:r>
      <w:proofErr w:type="spellStart"/>
      <w:r w:rsidRPr="00B36DCE">
        <w:rPr>
          <w:sz w:val="28"/>
          <w:szCs w:val="28"/>
        </w:rPr>
        <w:t>crore</w:t>
      </w:r>
      <w:proofErr w:type="spellEnd"/>
      <w:r w:rsidRPr="00B36DCE">
        <w:rPr>
          <w:sz w:val="28"/>
          <w:szCs w:val="28"/>
        </w:rPr>
        <w:t xml:space="preserve"> vs. 11.66 </w:t>
      </w:r>
      <w:proofErr w:type="spellStart"/>
      <w:r w:rsidRPr="00B36DCE">
        <w:rPr>
          <w:sz w:val="28"/>
          <w:szCs w:val="28"/>
        </w:rPr>
        <w:t>crore</w:t>
      </w:r>
      <w:proofErr w:type="spellEnd"/>
      <w:r w:rsidRPr="00B36DCE">
        <w:rPr>
          <w:sz w:val="28"/>
          <w:szCs w:val="28"/>
        </w:rPr>
        <w:t>) but is used more as a one-time document store than a repeat-use utility, while UMANG shows far higher transaction intensity per user — two different adoption models serving different citizen needs.</w:t>
      </w:r>
    </w:p>
    <w:p w:rsidR="005A2F31" w:rsidRPr="00B36DCE" w:rsidRDefault="00011B6D">
      <w:pPr>
        <w:pStyle w:val="Heading2"/>
        <w:rPr>
          <w:sz w:val="28"/>
          <w:szCs w:val="28"/>
        </w:rPr>
      </w:pPr>
      <w:bookmarkStart w:id="10" w:name="_Toc241214819"/>
      <w:r w:rsidRPr="00B36DCE">
        <w:rPr>
          <w:sz w:val="28"/>
          <w:szCs w:val="28"/>
        </w:rPr>
        <w:t>5.3</w:t>
      </w:r>
      <w:r w:rsidRPr="00B36DCE">
        <w:rPr>
          <w:sz w:val="28"/>
          <w:szCs w:val="28"/>
        </w:rPr>
        <w:t xml:space="preserve"> Predictive </w:t>
      </w:r>
      <w:proofErr w:type="spellStart"/>
      <w:r w:rsidRPr="00B36DCE">
        <w:rPr>
          <w:sz w:val="28"/>
          <w:szCs w:val="28"/>
        </w:rPr>
        <w:t>Modeling</w:t>
      </w:r>
      <w:proofErr w:type="spellEnd"/>
      <w:r w:rsidRPr="00B36DCE">
        <w:rPr>
          <w:sz w:val="28"/>
          <w:szCs w:val="28"/>
        </w:rPr>
        <w:t xml:space="preserve"> Layer — UPI Demand (Week 5)</w:t>
      </w:r>
      <w:bookmarkEnd w:id="10"/>
    </w:p>
    <w:p w:rsidR="005A2F31" w:rsidRPr="00B36DCE" w:rsidRDefault="00011B6D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B36DCE">
        <w:rPr>
          <w:sz w:val="28"/>
          <w:szCs w:val="28"/>
        </w:rPr>
        <w:t>Two reasonable forecasting models can agree perfectly on historical accuracy (identical MAE/RMSE) yet diverge sharply on the future — a genuine, generalizable lesson that model agreement on a test set is not</w:t>
      </w:r>
      <w:r w:rsidRPr="00B36DCE">
        <w:rPr>
          <w:sz w:val="28"/>
          <w:szCs w:val="28"/>
        </w:rPr>
        <w:t xml:space="preserve"> sufficient grounds to trust either one's forward forecast blindly.</w:t>
      </w:r>
    </w:p>
    <w:p w:rsidR="005A2F31" w:rsidRPr="00B36DCE" w:rsidRDefault="00011B6D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B36DCE">
        <w:rPr>
          <w:sz w:val="28"/>
          <w:szCs w:val="28"/>
        </w:rPr>
        <w:t>A naive log-linear growth model, fit to fully real 10-year data, predicted a full order of magnitude too high for the next fiscal year — a concrete warning against extrapolating a maturing platform's early hyper-growth rate.</w:t>
      </w:r>
    </w:p>
    <w:p w:rsidR="005A2F31" w:rsidRPr="00B36DCE" w:rsidRDefault="00011B6D">
      <w:pPr>
        <w:pStyle w:val="Heading2"/>
        <w:rPr>
          <w:sz w:val="28"/>
          <w:szCs w:val="28"/>
        </w:rPr>
      </w:pPr>
      <w:bookmarkStart w:id="11" w:name="_Toc241214820"/>
      <w:r w:rsidRPr="00B36DCE">
        <w:rPr>
          <w:sz w:val="28"/>
          <w:szCs w:val="28"/>
        </w:rPr>
        <w:t xml:space="preserve">5.4 Validation Layer — CPGRAMS </w:t>
      </w:r>
      <w:r w:rsidRPr="00B36DCE">
        <w:rPr>
          <w:sz w:val="28"/>
          <w:szCs w:val="28"/>
        </w:rPr>
        <w:t>(Week 6, this report)</w:t>
      </w:r>
      <w:bookmarkEnd w:id="11"/>
    </w:p>
    <w:p w:rsidR="005A2F31" w:rsidRDefault="00011B6D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>
            <wp:extent cx="5821680" cy="3253740"/>
            <wp:effectExtent l="19050" t="19050" r="26670" b="228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25374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A2F31" w:rsidRPr="00B36DCE" w:rsidRDefault="00011B6D">
      <w:pPr>
        <w:spacing w:after="240"/>
        <w:jc w:val="center"/>
        <w:rPr>
          <w:sz w:val="24"/>
          <w:szCs w:val="24"/>
        </w:rPr>
      </w:pPr>
      <w:r w:rsidRPr="00B36DCE">
        <w:rPr>
          <w:i/>
          <w:iCs/>
          <w:color w:val="595959"/>
          <w:sz w:val="24"/>
          <w:szCs w:val="24"/>
        </w:rPr>
        <w:t>Figure 1: Average grievance disposal time for Central Ministries, 2021-2026 (real, DARPG-sourced).</w:t>
      </w:r>
    </w:p>
    <w:p w:rsidR="005A2F31" w:rsidRPr="00B36DCE" w:rsidRDefault="00011B6D">
      <w:pPr>
        <w:spacing w:after="160" w:line="276" w:lineRule="auto"/>
        <w:rPr>
          <w:sz w:val="28"/>
          <w:szCs w:val="28"/>
        </w:rPr>
      </w:pPr>
      <w:r w:rsidRPr="00B36DCE">
        <w:rPr>
          <w:sz w:val="28"/>
          <w:szCs w:val="28"/>
        </w:rPr>
        <w:t>Average disposal time fell from 32 days (2021) to 13 days (April 2026) — a statistically significant declining trend (r=-0.83, p=0.02</w:t>
      </w:r>
      <w:r w:rsidRPr="00B36DCE">
        <w:rPr>
          <w:sz w:val="28"/>
          <w:szCs w:val="28"/>
        </w:rPr>
        <w:t xml:space="preserve">, n=7) representing a genuine, measurable efficiency gain of roughly 2.7 days per year. This confirms, on a third resource, the same kind of real efficiency improvement documented for other platforms in earlier weeks (e.g., </w:t>
      </w:r>
      <w:proofErr w:type="spellStart"/>
      <w:r w:rsidRPr="00B36DCE">
        <w:rPr>
          <w:sz w:val="28"/>
          <w:szCs w:val="28"/>
        </w:rPr>
        <w:t>DigiLocker</w:t>
      </w:r>
      <w:proofErr w:type="spellEnd"/>
      <w:r w:rsidRPr="00B36DCE">
        <w:rPr>
          <w:sz w:val="28"/>
          <w:szCs w:val="28"/>
        </w:rPr>
        <w:t>/UMANG's growing adopt</w:t>
      </w:r>
      <w:r w:rsidRPr="00B36DCE">
        <w:rPr>
          <w:sz w:val="28"/>
          <w:szCs w:val="28"/>
        </w:rPr>
        <w:t>ion).</w:t>
      </w:r>
    </w:p>
    <w:p w:rsidR="005A2F31" w:rsidRDefault="00011B6D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5783580" cy="3179851"/>
            <wp:effectExtent l="19050" t="19050" r="26670" b="209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235" cy="318516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A2F31" w:rsidRPr="00B36DCE" w:rsidRDefault="00011B6D">
      <w:pPr>
        <w:spacing w:after="240"/>
        <w:jc w:val="center"/>
        <w:rPr>
          <w:sz w:val="24"/>
          <w:szCs w:val="24"/>
        </w:rPr>
      </w:pPr>
      <w:r w:rsidRPr="00B36DCE">
        <w:rPr>
          <w:i/>
          <w:iCs/>
          <w:color w:val="595959"/>
          <w:sz w:val="24"/>
          <w:szCs w:val="24"/>
        </w:rPr>
        <w:t>Figure 2: States/UTs grievances received vs. disposed by month (real data).</w:t>
      </w:r>
    </w:p>
    <w:p w:rsidR="005A2F31" w:rsidRDefault="00011B6D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>
            <wp:extent cx="5615940" cy="3505200"/>
            <wp:effectExtent l="19050" t="19050" r="22860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35052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A2F31" w:rsidRPr="00B36DCE" w:rsidRDefault="00011B6D">
      <w:pPr>
        <w:spacing w:after="240"/>
        <w:jc w:val="center"/>
        <w:rPr>
          <w:sz w:val="24"/>
          <w:szCs w:val="24"/>
        </w:rPr>
      </w:pPr>
      <w:r w:rsidRPr="00B36DCE">
        <w:rPr>
          <w:i/>
          <w:iCs/>
          <w:color w:val="595959"/>
          <w:sz w:val="24"/>
          <w:szCs w:val="24"/>
        </w:rPr>
        <w:t>Figure 3: States/UTs month-end pendency — rising even where disposal exceeds intake.</w:t>
      </w:r>
    </w:p>
    <w:p w:rsidR="005A2F31" w:rsidRPr="00B36DCE" w:rsidRDefault="00011B6D">
      <w:pPr>
        <w:spacing w:after="160" w:line="276" w:lineRule="auto"/>
        <w:rPr>
          <w:sz w:val="28"/>
          <w:szCs w:val="28"/>
        </w:rPr>
      </w:pPr>
      <w:r w:rsidRPr="00B36DCE">
        <w:rPr>
          <w:sz w:val="28"/>
          <w:szCs w:val="28"/>
        </w:rPr>
        <w:t>The disposal-to-received ratio averaged 1.05 across the three months with confirmed f</w:t>
      </w:r>
      <w:r w:rsidRPr="00B36DCE">
        <w:rPr>
          <w:sz w:val="28"/>
          <w:szCs w:val="28"/>
        </w:rPr>
        <w:t xml:space="preserve">igures (Dec-2024, Feb-2025, </w:t>
      </w:r>
      <w:proofErr w:type="gramStart"/>
      <w:r w:rsidRPr="00B36DCE">
        <w:rPr>
          <w:sz w:val="28"/>
          <w:szCs w:val="28"/>
        </w:rPr>
        <w:t>May</w:t>
      </w:r>
      <w:proofErr w:type="gramEnd"/>
      <w:r w:rsidRPr="00B36DCE">
        <w:rPr>
          <w:sz w:val="28"/>
          <w:szCs w:val="28"/>
        </w:rPr>
        <w:t>-2025) — meaning States/UTs disposed of slightly more grievances than they received in a typical month. Yet pendency rose 6.6% over the same window (185,519 -&gt; 197,787). This apparent contradiction is a genuine, unresolved fi</w:t>
      </w:r>
      <w:r w:rsidRPr="00B36DCE">
        <w:rPr>
          <w:sz w:val="28"/>
          <w:szCs w:val="28"/>
        </w:rPr>
        <w:t>nding: it suggests either a backlog of older, harder-to-close cases accumulating outside the simple received/disposed accounting, or a timing lag between when a grievance is logged and when it enters the disposal count. This report does not have enough inf</w:t>
      </w:r>
      <w:r w:rsidRPr="00B36DCE">
        <w:rPr>
          <w:sz w:val="28"/>
          <w:szCs w:val="28"/>
        </w:rPr>
        <w:t>ormation to resolve which — consistent with this internship's practice of stating an open finding rather than forcing a tidy but unsupported explanation (see Section 4.1).</w:t>
      </w:r>
    </w:p>
    <w:p w:rsidR="005A2F31" w:rsidRPr="00B36DCE" w:rsidRDefault="00011B6D">
      <w:pPr>
        <w:pStyle w:val="Heading1"/>
        <w:rPr>
          <w:sz w:val="32"/>
          <w:szCs w:val="32"/>
        </w:rPr>
      </w:pPr>
      <w:bookmarkStart w:id="12" w:name="_Toc241214821"/>
      <w:r w:rsidRPr="00B36DCE">
        <w:rPr>
          <w:sz w:val="32"/>
          <w:szCs w:val="32"/>
        </w:rPr>
        <w:t>6. Recommendations</w:t>
      </w:r>
      <w:bookmarkEnd w:id="12"/>
    </w:p>
    <w:p w:rsidR="005A2F31" w:rsidRDefault="00011B6D">
      <w:pPr>
        <w:spacing w:after="160" w:line="276" w:lineRule="auto"/>
        <w:rPr>
          <w:sz w:val="28"/>
          <w:szCs w:val="28"/>
        </w:rPr>
      </w:pPr>
      <w:r w:rsidRPr="00B36DCE">
        <w:rPr>
          <w:sz w:val="28"/>
          <w:szCs w:val="28"/>
        </w:rPr>
        <w:t>The following recommendations are drawn directly from the finding</w:t>
      </w:r>
      <w:r w:rsidRPr="00B36DCE">
        <w:rPr>
          <w:sz w:val="28"/>
          <w:szCs w:val="28"/>
        </w:rPr>
        <w:t>s above, prioritized by how directly the underlying evidence supports them.</w:t>
      </w:r>
    </w:p>
    <w:p w:rsidR="00010FD8" w:rsidRDefault="00010FD8">
      <w:pPr>
        <w:spacing w:after="160" w:line="276" w:lineRule="auto"/>
        <w:rPr>
          <w:sz w:val="28"/>
          <w:szCs w:val="28"/>
        </w:rPr>
      </w:pPr>
    </w:p>
    <w:p w:rsidR="00010FD8" w:rsidRDefault="00010FD8">
      <w:pPr>
        <w:spacing w:after="160" w:line="276" w:lineRule="auto"/>
        <w:rPr>
          <w:sz w:val="28"/>
          <w:szCs w:val="28"/>
        </w:rPr>
      </w:pPr>
    </w:p>
    <w:p w:rsidR="00010FD8" w:rsidRPr="00B36DCE" w:rsidRDefault="00010FD8">
      <w:pPr>
        <w:spacing w:after="160" w:line="276" w:lineRule="auto"/>
        <w:rPr>
          <w:sz w:val="28"/>
          <w:szCs w:val="28"/>
        </w:rPr>
      </w:pPr>
    </w:p>
    <w:tbl>
      <w:tblPr>
        <w:tblW w:w="10132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49"/>
        <w:gridCol w:w="2803"/>
        <w:gridCol w:w="1940"/>
        <w:gridCol w:w="1940"/>
      </w:tblGrid>
      <w:tr w:rsidR="005A2F31" w:rsidTr="00010FD8">
        <w:tblPrEx>
          <w:tblCellMar>
            <w:top w:w="0" w:type="dxa"/>
            <w:bottom w:w="0" w:type="dxa"/>
          </w:tblCellMar>
        </w:tblPrEx>
        <w:trPr>
          <w:cantSplit/>
          <w:trHeight w:val="302"/>
          <w:tblHeader/>
        </w:trPr>
        <w:tc>
          <w:tcPr>
            <w:tcW w:w="3449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b/>
                <w:bCs/>
                <w:color w:val="FFFFFF"/>
                <w:sz w:val="24"/>
                <w:szCs w:val="24"/>
              </w:rPr>
              <w:lastRenderedPageBreak/>
              <w:t>Recommendation</w:t>
            </w:r>
          </w:p>
        </w:tc>
        <w:tc>
          <w:tcPr>
            <w:tcW w:w="2803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b/>
                <w:bCs/>
                <w:color w:val="FFFFFF"/>
                <w:sz w:val="24"/>
                <w:szCs w:val="24"/>
              </w:rPr>
              <w:t>Impact</w:t>
            </w:r>
          </w:p>
        </w:tc>
        <w:tc>
          <w:tcPr>
            <w:tcW w:w="194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b/>
                <w:bCs/>
                <w:color w:val="FFFFFF"/>
                <w:sz w:val="24"/>
                <w:szCs w:val="24"/>
              </w:rPr>
              <w:t>Effort</w:t>
            </w:r>
          </w:p>
        </w:tc>
        <w:tc>
          <w:tcPr>
            <w:tcW w:w="194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b/>
                <w:bCs/>
                <w:color w:val="FFFFFF"/>
                <w:sz w:val="24"/>
                <w:szCs w:val="24"/>
              </w:rPr>
              <w:t>Owner</w:t>
            </w:r>
          </w:p>
        </w:tc>
      </w:tr>
      <w:tr w:rsidR="005A2F31" w:rsidTr="00010FD8">
        <w:tblPrEx>
          <w:tblCellMar>
            <w:top w:w="0" w:type="dxa"/>
            <w:bottom w:w="0" w:type="dxa"/>
          </w:tblCellMar>
        </w:tblPrEx>
        <w:trPr>
          <w:cantSplit/>
          <w:trHeight w:val="1172"/>
        </w:trPr>
        <w:tc>
          <w:tcPr>
            <w:tcW w:w="34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Target biometric-capture process fixes for the 0-5 and 60+ age bands specifically (Week 3 finding)</w:t>
            </w:r>
          </w:p>
        </w:tc>
        <w:tc>
          <w:tcPr>
            <w:tcW w:w="28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High — addresses the largest, most specific rejection driver found</w:t>
            </w:r>
          </w:p>
        </w:tc>
        <w:tc>
          <w:tcPr>
            <w:tcW w:w="1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1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UIDAI / enrolment agencies</w:t>
            </w:r>
          </w:p>
        </w:tc>
      </w:tr>
      <w:tr w:rsidR="005A2F31" w:rsidTr="00010FD8">
        <w:tblPrEx>
          <w:tblCellMar>
            <w:top w:w="0" w:type="dxa"/>
            <w:bottom w:w="0" w:type="dxa"/>
          </w:tblCellMar>
        </w:tblPrEx>
        <w:trPr>
          <w:cantSplit/>
          <w:trHeight w:val="1184"/>
        </w:trPr>
        <w:tc>
          <w:tcPr>
            <w:tcW w:w="34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 xml:space="preserve">Treat digital-access expansion and enrolment-friction reduction as two separate </w:t>
            </w:r>
            <w:proofErr w:type="spellStart"/>
            <w:r w:rsidRPr="00B36DCE">
              <w:rPr>
                <w:color w:val="000000"/>
                <w:sz w:val="24"/>
                <w:szCs w:val="24"/>
              </w:rPr>
              <w:t>workstreams</w:t>
            </w:r>
            <w:proofErr w:type="spellEnd"/>
            <w:r w:rsidRPr="00B36DCE">
              <w:rPr>
                <w:color w:val="000000"/>
                <w:sz w:val="24"/>
                <w:szCs w:val="24"/>
              </w:rPr>
              <w:t xml:space="preserve"> (Week 4 finding)</w:t>
            </w:r>
          </w:p>
        </w:tc>
        <w:tc>
          <w:tcPr>
            <w:tcW w:w="28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High — avoids wasted effort assuming one fixes the other</w:t>
            </w:r>
          </w:p>
        </w:tc>
        <w:tc>
          <w:tcPr>
            <w:tcW w:w="1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Low (planning only)</w:t>
            </w:r>
          </w:p>
        </w:tc>
        <w:tc>
          <w:tcPr>
            <w:tcW w:w="1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proofErr w:type="spellStart"/>
            <w:r w:rsidRPr="00B36DCE">
              <w:rPr>
                <w:color w:val="000000"/>
                <w:sz w:val="24"/>
                <w:szCs w:val="24"/>
              </w:rPr>
              <w:t>MeitY</w:t>
            </w:r>
            <w:proofErr w:type="spellEnd"/>
            <w:r w:rsidRPr="00B36DCE">
              <w:rPr>
                <w:color w:val="000000"/>
                <w:sz w:val="24"/>
                <w:szCs w:val="24"/>
              </w:rPr>
              <w:t xml:space="preserve"> / State IT </w:t>
            </w:r>
            <w:proofErr w:type="spellStart"/>
            <w:r w:rsidRPr="00B36DCE">
              <w:rPr>
                <w:color w:val="000000"/>
                <w:sz w:val="24"/>
                <w:szCs w:val="24"/>
              </w:rPr>
              <w:t>depts</w:t>
            </w:r>
            <w:proofErr w:type="spellEnd"/>
          </w:p>
        </w:tc>
      </w:tr>
      <w:tr w:rsidR="005A2F31" w:rsidTr="00010FD8">
        <w:tblPrEx>
          <w:tblCellMar>
            <w:top w:w="0" w:type="dxa"/>
            <w:bottom w:w="0" w:type="dxa"/>
          </w:tblCellMar>
        </w:tblPrEx>
        <w:trPr>
          <w:cantSplit/>
          <w:trHeight w:val="1777"/>
        </w:trPr>
        <w:tc>
          <w:tcPr>
            <w:tcW w:w="34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Replace single-point growth-rate extrapolation with a logistic (S-curve) model for multi-year digital-payments infrastructure planning (Week 5 finding)</w:t>
            </w:r>
          </w:p>
        </w:tc>
        <w:tc>
          <w:tcPr>
            <w:tcW w:w="28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Hig</w:t>
            </w:r>
            <w:r w:rsidRPr="00B36DCE">
              <w:rPr>
                <w:color w:val="000000"/>
                <w:sz w:val="24"/>
                <w:szCs w:val="24"/>
              </w:rPr>
              <w:t>h — prevents budget over-commitment based on early hyper-growth rates</w:t>
            </w:r>
          </w:p>
        </w:tc>
        <w:tc>
          <w:tcPr>
            <w:tcW w:w="1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1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NPCI / RBI planning units</w:t>
            </w:r>
          </w:p>
        </w:tc>
      </w:tr>
      <w:tr w:rsidR="005A2F31" w:rsidTr="00010FD8">
        <w:tblPrEx>
          <w:tblCellMar>
            <w:top w:w="0" w:type="dxa"/>
            <w:bottom w:w="0" w:type="dxa"/>
          </w:tblCellMar>
        </w:tblPrEx>
        <w:trPr>
          <w:cantSplit/>
          <w:trHeight w:val="1475"/>
        </w:trPr>
        <w:tc>
          <w:tcPr>
            <w:tcW w:w="34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Investigate why CPGRAMS pendency keeps rising even in months where disposal exceeds intake (this report's finding)</w:t>
            </w:r>
          </w:p>
        </w:tc>
        <w:tc>
          <w:tcPr>
            <w:tcW w:w="28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Medium — a visible, measurable servic</w:t>
            </w:r>
            <w:r w:rsidRPr="00B36DCE">
              <w:rPr>
                <w:color w:val="000000"/>
                <w:sz w:val="24"/>
                <w:szCs w:val="24"/>
              </w:rPr>
              <w:t>e-quality gap</w:t>
            </w:r>
          </w:p>
        </w:tc>
        <w:tc>
          <w:tcPr>
            <w:tcW w:w="1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1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DARPG</w:t>
            </w:r>
          </w:p>
        </w:tc>
      </w:tr>
      <w:tr w:rsidR="005A2F31" w:rsidTr="00010FD8">
        <w:tblPrEx>
          <w:tblCellMar>
            <w:top w:w="0" w:type="dxa"/>
            <w:bottom w:w="0" w:type="dxa"/>
          </w:tblCellMar>
        </w:tblPrEx>
        <w:trPr>
          <w:cantSplit/>
          <w:trHeight w:val="1475"/>
        </w:trPr>
        <w:tc>
          <w:tcPr>
            <w:tcW w:w="34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Adopt a standard 'Precision' flag (exact vs. approximate) on every published government statistic reused for analysis</w:t>
            </w:r>
          </w:p>
        </w:tc>
        <w:tc>
          <w:tcPr>
            <w:tcW w:w="28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Medium — improves the reliability of all future downstream analysis</w:t>
            </w:r>
          </w:p>
        </w:tc>
        <w:tc>
          <w:tcPr>
            <w:tcW w:w="1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Low</w:t>
            </w:r>
          </w:p>
        </w:tc>
        <w:tc>
          <w:tcPr>
            <w:tcW w:w="1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Data-publishing ministries</w:t>
            </w:r>
          </w:p>
        </w:tc>
      </w:tr>
      <w:tr w:rsidR="005A2F31" w:rsidTr="00010FD8">
        <w:tblPrEx>
          <w:tblCellMar>
            <w:top w:w="0" w:type="dxa"/>
            <w:bottom w:w="0" w:type="dxa"/>
          </w:tblCellMar>
        </w:tblPrEx>
        <w:trPr>
          <w:cantSplit/>
          <w:trHeight w:val="1475"/>
        </w:trPr>
        <w:tc>
          <w:tcPr>
            <w:tcW w:w="34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Establish a single, versioned historical bulk-download endpoint per platform (as UIDAI provides, unlike CPGRAMS/UPI)</w:t>
            </w:r>
          </w:p>
        </w:tc>
        <w:tc>
          <w:tcPr>
            <w:tcW w:w="28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High — the single biggest recurring obstacle across all 6 weeks</w:t>
            </w:r>
          </w:p>
        </w:tc>
        <w:tc>
          <w:tcPr>
            <w:tcW w:w="1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r w:rsidRPr="00B36DCE"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1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A2F31" w:rsidRPr="00B36DCE" w:rsidRDefault="00011B6D">
            <w:pPr>
              <w:rPr>
                <w:sz w:val="24"/>
                <w:szCs w:val="24"/>
              </w:rPr>
            </w:pPr>
            <w:proofErr w:type="spellStart"/>
            <w:r w:rsidRPr="00B36DCE">
              <w:rPr>
                <w:color w:val="000000"/>
                <w:sz w:val="24"/>
                <w:szCs w:val="24"/>
              </w:rPr>
              <w:t>MeitY</w:t>
            </w:r>
            <w:proofErr w:type="spellEnd"/>
            <w:r w:rsidRPr="00B36DCE">
              <w:rPr>
                <w:color w:val="000000"/>
                <w:sz w:val="24"/>
                <w:szCs w:val="24"/>
              </w:rPr>
              <w:t xml:space="preserve"> / NIC</w:t>
            </w:r>
          </w:p>
        </w:tc>
      </w:tr>
    </w:tbl>
    <w:p w:rsidR="005A2F31" w:rsidRDefault="005A2F31">
      <w:pPr>
        <w:spacing w:after="200"/>
      </w:pPr>
    </w:p>
    <w:p w:rsidR="005A2F31" w:rsidRPr="00010FD8" w:rsidRDefault="00011B6D">
      <w:pPr>
        <w:pStyle w:val="Heading2"/>
        <w:rPr>
          <w:sz w:val="28"/>
          <w:szCs w:val="28"/>
        </w:rPr>
      </w:pPr>
      <w:bookmarkStart w:id="13" w:name="_Toc241214822"/>
      <w:r w:rsidRPr="00010FD8">
        <w:rPr>
          <w:sz w:val="28"/>
          <w:szCs w:val="28"/>
        </w:rPr>
        <w:t>6.1 For Policymakers</w:t>
      </w:r>
      <w:bookmarkEnd w:id="13"/>
    </w:p>
    <w:p w:rsidR="005A2F31" w:rsidRPr="00010FD8" w:rsidRDefault="00011B6D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010FD8">
        <w:rPr>
          <w:sz w:val="28"/>
          <w:szCs w:val="28"/>
        </w:rPr>
        <w:t>Fund targeted technical fixes for b</w:t>
      </w:r>
      <w:r w:rsidRPr="00010FD8">
        <w:rPr>
          <w:sz w:val="28"/>
          <w:szCs w:val="28"/>
        </w:rPr>
        <w:t xml:space="preserve">iometric capture in early childhood and old age specifically, rather than general </w:t>
      </w:r>
      <w:proofErr w:type="spellStart"/>
      <w:r w:rsidRPr="00010FD8">
        <w:rPr>
          <w:sz w:val="28"/>
          <w:szCs w:val="28"/>
        </w:rPr>
        <w:t>enrollment</w:t>
      </w:r>
      <w:proofErr w:type="spellEnd"/>
      <w:r w:rsidRPr="00010FD8">
        <w:rPr>
          <w:sz w:val="28"/>
          <w:szCs w:val="28"/>
        </w:rPr>
        <w:t>-centre upgrades — the data shows the problem is concentrated, not diffuse.</w:t>
      </w:r>
    </w:p>
    <w:p w:rsidR="005A2F31" w:rsidRPr="00010FD8" w:rsidRDefault="00011B6D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010FD8">
        <w:rPr>
          <w:sz w:val="28"/>
          <w:szCs w:val="28"/>
        </w:rPr>
        <w:t>When setting multi-year digital-infrastructure budgets, require any growth-based project</w:t>
      </w:r>
      <w:r w:rsidRPr="00010FD8">
        <w:rPr>
          <w:sz w:val="28"/>
          <w:szCs w:val="28"/>
        </w:rPr>
        <w:t>ion to state whether it assumes continued early-stage exponential growth or a maturing S-curve — Week 5's finding shows the difference is worth an order of magnitude.</w:t>
      </w:r>
    </w:p>
    <w:p w:rsidR="005A2F31" w:rsidRPr="00010FD8" w:rsidRDefault="00011B6D">
      <w:pPr>
        <w:pStyle w:val="Heading2"/>
        <w:rPr>
          <w:sz w:val="28"/>
          <w:szCs w:val="28"/>
        </w:rPr>
      </w:pPr>
      <w:bookmarkStart w:id="14" w:name="_Toc241214823"/>
      <w:r w:rsidRPr="00010FD8">
        <w:rPr>
          <w:sz w:val="28"/>
          <w:szCs w:val="28"/>
        </w:rPr>
        <w:lastRenderedPageBreak/>
        <w:t>6.2 For Digital Service Managers</w:t>
      </w:r>
      <w:bookmarkEnd w:id="14"/>
    </w:p>
    <w:p w:rsidR="005A2F31" w:rsidRPr="00010FD8" w:rsidRDefault="00011B6D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010FD8">
        <w:rPr>
          <w:sz w:val="28"/>
          <w:szCs w:val="28"/>
        </w:rPr>
        <w:t>Track Access and Efficiency as separate KPIs with separa</w:t>
      </w:r>
      <w:r w:rsidRPr="00010FD8">
        <w:rPr>
          <w:sz w:val="28"/>
          <w:szCs w:val="28"/>
        </w:rPr>
        <w:t>te improvement plans, since Week 4's finding shows fixing one will not incidentally fix the other.</w:t>
      </w:r>
    </w:p>
    <w:p w:rsidR="005A2F31" w:rsidRPr="00010FD8" w:rsidRDefault="00011B6D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010FD8">
        <w:rPr>
          <w:sz w:val="28"/>
          <w:szCs w:val="28"/>
        </w:rPr>
        <w:t>For any platform reporting both 'received' and 'disposed'</w:t>
      </w:r>
      <w:r w:rsidRPr="00010FD8">
        <w:rPr>
          <w:sz w:val="28"/>
          <w:szCs w:val="28"/>
        </w:rPr>
        <w:t xml:space="preserve"> counts (as CPGRAMS does), also track and publish pendency directly — this report shows the two can tell contradictory stories, and only publishing pendency directly would have surfaced the gap sooner.</w:t>
      </w:r>
    </w:p>
    <w:p w:rsidR="005A2F31" w:rsidRPr="00010FD8" w:rsidRDefault="00011B6D">
      <w:pPr>
        <w:pStyle w:val="Heading1"/>
        <w:rPr>
          <w:sz w:val="32"/>
          <w:szCs w:val="32"/>
        </w:rPr>
      </w:pPr>
      <w:bookmarkStart w:id="15" w:name="_Toc241214824"/>
      <w:r w:rsidRPr="00010FD8">
        <w:rPr>
          <w:sz w:val="32"/>
          <w:szCs w:val="32"/>
        </w:rPr>
        <w:t>7. Limitations of This Internship's Analysis</w:t>
      </w:r>
      <w:bookmarkEnd w:id="15"/>
    </w:p>
    <w:p w:rsidR="005A2F31" w:rsidRPr="00010FD8" w:rsidRDefault="00011B6D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010FD8">
        <w:rPr>
          <w:sz w:val="28"/>
          <w:szCs w:val="28"/>
        </w:rPr>
        <w:t>No datase</w:t>
      </w:r>
      <w:r w:rsidRPr="00010FD8">
        <w:rPr>
          <w:sz w:val="28"/>
          <w:szCs w:val="28"/>
        </w:rPr>
        <w:t>t used across all six weeks includes individual-citizen-level records with informed consent for research use — all analysis is on aggregated, publicly published figures, which limits any claim to population-level patterns, not individual causal mechanisms.</w:t>
      </w:r>
    </w:p>
    <w:p w:rsidR="005A2F31" w:rsidRPr="00010FD8" w:rsidRDefault="00011B6D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010FD8">
        <w:rPr>
          <w:sz w:val="28"/>
          <w:szCs w:val="28"/>
        </w:rPr>
        <w:t>Each week's dataset represents a different time snapshot (UIDAI: undated cumulative extract; NPCI: Aug 2025-Aug 2026; CPGRAMS: scattered months 2021-2026) — the internship's findings should be read as a set of independent, time-bounded snapshots, not a si</w:t>
      </w:r>
      <w:r w:rsidRPr="00010FD8">
        <w:rPr>
          <w:sz w:val="28"/>
          <w:szCs w:val="28"/>
        </w:rPr>
        <w:t>ngle continuous national timeline.</w:t>
      </w:r>
    </w:p>
    <w:p w:rsidR="005A2F31" w:rsidRPr="00010FD8" w:rsidRDefault="00011B6D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010FD8">
        <w:rPr>
          <w:sz w:val="28"/>
          <w:szCs w:val="28"/>
        </w:rPr>
        <w:t>Week 4's necessarily-simulated Satisfaction Index, though anchored to a real external figure and fully disclosed</w:t>
      </w:r>
      <w:proofErr w:type="gramStart"/>
      <w:r w:rsidRPr="00010FD8">
        <w:rPr>
          <w:sz w:val="28"/>
          <w:szCs w:val="28"/>
        </w:rPr>
        <w:t>,</w:t>
      </w:r>
      <w:proofErr w:type="gramEnd"/>
      <w:r w:rsidRPr="00010FD8">
        <w:rPr>
          <w:sz w:val="28"/>
          <w:szCs w:val="28"/>
        </w:rPr>
        <w:t xml:space="preserve"> remains the one metric across six weeks that is not a direct measurement — any reuse of that specific findi</w:t>
      </w:r>
      <w:r w:rsidRPr="00010FD8">
        <w:rPr>
          <w:sz w:val="28"/>
          <w:szCs w:val="28"/>
        </w:rPr>
        <w:t>ng outside this internship should first be replaced with real survey data.</w:t>
      </w:r>
    </w:p>
    <w:p w:rsidR="005A2F31" w:rsidRPr="00010FD8" w:rsidRDefault="00011B6D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010FD8">
        <w:rPr>
          <w:sz w:val="28"/>
          <w:szCs w:val="28"/>
        </w:rPr>
        <w:t>This validation case study (Section 5.4) uses only 7 and 4 data points respectively for its two CPGRAMS series — sufficient to demonstrate the framework transfers, but not sufficien</w:t>
      </w:r>
      <w:r w:rsidRPr="00010FD8">
        <w:rPr>
          <w:sz w:val="28"/>
          <w:szCs w:val="28"/>
        </w:rPr>
        <w:t>t for the same depth of analysis Weeks 2-5 achieved on larger datasets.</w:t>
      </w:r>
    </w:p>
    <w:p w:rsidR="005A2F31" w:rsidRPr="00010FD8" w:rsidRDefault="00011B6D">
      <w:pPr>
        <w:pStyle w:val="Heading1"/>
        <w:rPr>
          <w:sz w:val="32"/>
          <w:szCs w:val="32"/>
        </w:rPr>
      </w:pPr>
      <w:bookmarkStart w:id="16" w:name="_Toc241214825"/>
      <w:r w:rsidRPr="00010FD8">
        <w:rPr>
          <w:sz w:val="32"/>
          <w:szCs w:val="32"/>
        </w:rPr>
        <w:t>8. Conclusion</w:t>
      </w:r>
      <w:bookmarkStart w:id="17" w:name="_GoBack"/>
      <w:bookmarkEnd w:id="16"/>
      <w:bookmarkEnd w:id="17"/>
    </w:p>
    <w:p w:rsidR="005A2F31" w:rsidRPr="00010FD8" w:rsidRDefault="00011B6D">
      <w:pPr>
        <w:spacing w:after="160" w:line="276" w:lineRule="auto"/>
        <w:rPr>
          <w:sz w:val="28"/>
          <w:szCs w:val="28"/>
        </w:rPr>
      </w:pPr>
      <w:r w:rsidRPr="00010FD8">
        <w:rPr>
          <w:sz w:val="28"/>
          <w:szCs w:val="28"/>
        </w:rPr>
        <w:t>Across six weeks, this internship moved from strategic planning with no data in hand, through increasingly rigorous collection, exploration, statistical validation, and f</w:t>
      </w:r>
      <w:r w:rsidRPr="00010FD8">
        <w:rPr>
          <w:sz w:val="28"/>
          <w:szCs w:val="28"/>
        </w:rPr>
        <w:t xml:space="preserve">orecasting on real Government of India datasets, to this final synthesis — which itself confirms the analytical approach transfers cleanly to a third, previously unused resource (DARPG/CPGRAMS). The most valuable outcome is not any single statistic, but a </w:t>
      </w:r>
      <w:r w:rsidRPr="00010FD8">
        <w:rPr>
          <w:sz w:val="28"/>
          <w:szCs w:val="28"/>
        </w:rPr>
        <w:t>consistent, disclosed way of working: real data first, explicit flags wherever simulation or interpolation was unavoidable, and a willingness to report findings that don't fit a tidy narrative (two forecasting models that disagree; a pendency figure that r</w:t>
      </w:r>
      <w:r w:rsidRPr="00010FD8">
        <w:rPr>
          <w:sz w:val="28"/>
          <w:szCs w:val="28"/>
        </w:rPr>
        <w:t xml:space="preserve">ises despite a </w:t>
      </w:r>
      <w:r w:rsidRPr="00010FD8">
        <w:rPr>
          <w:sz w:val="28"/>
          <w:szCs w:val="28"/>
        </w:rPr>
        <w:lastRenderedPageBreak/>
        <w:t>healthy disposal ratio). These habits, more than any individual number, are what should transfer to future digital-transformation analysis in the e-governance space.</w:t>
      </w:r>
    </w:p>
    <w:sectPr w:rsidR="005A2F31" w:rsidRPr="00010FD8">
      <w:headerReference w:type="default" r:id="rId11"/>
      <w:footerReference w:type="defaul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1B6D" w:rsidRDefault="00011B6D">
      <w:r>
        <w:separator/>
      </w:r>
    </w:p>
  </w:endnote>
  <w:endnote w:type="continuationSeparator" w:id="0">
    <w:p w:rsidR="00011B6D" w:rsidRDefault="00011B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2F31" w:rsidRDefault="00011B6D"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 w:rsidR="00B36DCE">
      <w:rPr>
        <w:color w:val="999999"/>
        <w:sz w:val="18"/>
        <w:szCs w:val="18"/>
      </w:rPr>
      <w:fldChar w:fldCharType="separate"/>
    </w:r>
    <w:r w:rsidR="00010FD8">
      <w:rPr>
        <w:noProof/>
        <w:color w:val="999999"/>
        <w:sz w:val="18"/>
        <w:szCs w:val="18"/>
      </w:rPr>
      <w:t>11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1B6D" w:rsidRDefault="00011B6D">
      <w:r>
        <w:separator/>
      </w:r>
    </w:p>
  </w:footnote>
  <w:footnote w:type="continuationSeparator" w:id="0">
    <w:p w:rsidR="00011B6D" w:rsidRDefault="00011B6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2F31" w:rsidRPr="00B36DCE" w:rsidRDefault="00011B6D">
    <w:pPr>
      <w:jc w:val="right"/>
      <w:rPr>
        <w:sz w:val="24"/>
        <w:szCs w:val="24"/>
      </w:rPr>
    </w:pPr>
    <w:r w:rsidRPr="00B36DCE">
      <w:rPr>
        <w:color w:val="999999"/>
        <w:sz w:val="24"/>
        <w:szCs w:val="24"/>
      </w:rPr>
      <w:t xml:space="preserve"> Digital Transformation Insights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3FD011C"/>
    <w:multiLevelType w:val="hybridMultilevel"/>
    <w:tmpl w:val="60AAC53E"/>
    <w:lvl w:ilvl="0" w:tplc="94702B6E">
      <w:start w:val="1"/>
      <w:numFmt w:val="bullet"/>
      <w:lvlText w:val="●"/>
      <w:lvlJc w:val="left"/>
      <w:pPr>
        <w:ind w:left="720" w:hanging="360"/>
      </w:pPr>
    </w:lvl>
    <w:lvl w:ilvl="1" w:tplc="9E3AC1D4">
      <w:start w:val="1"/>
      <w:numFmt w:val="bullet"/>
      <w:lvlText w:val="○"/>
      <w:lvlJc w:val="left"/>
      <w:pPr>
        <w:ind w:left="1440" w:hanging="360"/>
      </w:pPr>
    </w:lvl>
    <w:lvl w:ilvl="2" w:tplc="6B307146">
      <w:start w:val="1"/>
      <w:numFmt w:val="bullet"/>
      <w:lvlText w:val="■"/>
      <w:lvlJc w:val="left"/>
      <w:pPr>
        <w:ind w:left="2160" w:hanging="360"/>
      </w:pPr>
    </w:lvl>
    <w:lvl w:ilvl="3" w:tplc="F1E0C270">
      <w:start w:val="1"/>
      <w:numFmt w:val="bullet"/>
      <w:lvlText w:val="●"/>
      <w:lvlJc w:val="left"/>
      <w:pPr>
        <w:ind w:left="2880" w:hanging="360"/>
      </w:pPr>
    </w:lvl>
    <w:lvl w:ilvl="4" w:tplc="C5B67692">
      <w:start w:val="1"/>
      <w:numFmt w:val="bullet"/>
      <w:lvlText w:val="○"/>
      <w:lvlJc w:val="left"/>
      <w:pPr>
        <w:ind w:left="3600" w:hanging="360"/>
      </w:pPr>
    </w:lvl>
    <w:lvl w:ilvl="5" w:tplc="48FE85C0">
      <w:start w:val="1"/>
      <w:numFmt w:val="bullet"/>
      <w:lvlText w:val="■"/>
      <w:lvlJc w:val="left"/>
      <w:pPr>
        <w:ind w:left="4320" w:hanging="360"/>
      </w:pPr>
    </w:lvl>
    <w:lvl w:ilvl="6" w:tplc="84CCE680">
      <w:start w:val="1"/>
      <w:numFmt w:val="bullet"/>
      <w:lvlText w:val="●"/>
      <w:lvlJc w:val="left"/>
      <w:pPr>
        <w:ind w:left="5040" w:hanging="360"/>
      </w:pPr>
    </w:lvl>
    <w:lvl w:ilvl="7" w:tplc="5706EA60">
      <w:start w:val="1"/>
      <w:numFmt w:val="bullet"/>
      <w:lvlText w:val="●"/>
      <w:lvlJc w:val="left"/>
      <w:pPr>
        <w:ind w:left="5760" w:hanging="360"/>
      </w:pPr>
    </w:lvl>
    <w:lvl w:ilvl="8" w:tplc="22C2B98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A2F31"/>
    <w:rsid w:val="00010FD8"/>
    <w:rsid w:val="00011B6D"/>
    <w:rsid w:val="005A2F31"/>
    <w:rsid w:val="00B36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qFormat/>
    <w:pPr>
      <w:spacing w:before="260" w:after="120"/>
      <w:outlineLvl w:val="1"/>
    </w:pPr>
    <w:rPr>
      <w:b/>
      <w:bCs/>
      <w:color w:val="2E9E8F"/>
      <w:sz w:val="25"/>
      <w:szCs w:val="25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color w:val="595959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36DCE"/>
    <w:pPr>
      <w:spacing w:after="100"/>
    </w:pPr>
    <w:rPr>
      <w:rFonts w:cs="Mangal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B36DCE"/>
    <w:pPr>
      <w:spacing w:after="100"/>
      <w:ind w:left="220"/>
    </w:pPr>
    <w:rPr>
      <w:rFonts w:cs="Mangal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6DCE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DCE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B36DCE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B36DCE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B36DCE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36DCE"/>
    <w:rPr>
      <w:rFonts w:cs="Mangal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qFormat/>
    <w:pPr>
      <w:spacing w:before="260" w:after="120"/>
      <w:outlineLvl w:val="1"/>
    </w:pPr>
    <w:rPr>
      <w:b/>
      <w:bCs/>
      <w:color w:val="2E9E8F"/>
      <w:sz w:val="25"/>
      <w:szCs w:val="25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color w:val="595959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36DCE"/>
    <w:pPr>
      <w:spacing w:after="100"/>
    </w:pPr>
    <w:rPr>
      <w:rFonts w:cs="Mangal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B36DCE"/>
    <w:pPr>
      <w:spacing w:after="100"/>
      <w:ind w:left="220"/>
    </w:pPr>
    <w:rPr>
      <w:rFonts w:cs="Mangal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6DCE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DCE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B36DCE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B36DCE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B36DCE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36DCE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2323</Words>
  <Characters>13243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Neeraj Patel</cp:lastModifiedBy>
  <cp:revision>2</cp:revision>
  <dcterms:created xsi:type="dcterms:W3CDTF">2026-09-23T04:15:00Z</dcterms:created>
  <dcterms:modified xsi:type="dcterms:W3CDTF">2026-09-25T02:28:00Z</dcterms:modified>
</cp:coreProperties>
</file>