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3BA5" w:rsidRDefault="004A3BA5">
      <w:pPr>
        <w:spacing w:before="1400"/>
      </w:pPr>
    </w:p>
    <w:p w:rsidR="004A3BA5" w:rsidRDefault="003B3735">
      <w:pPr>
        <w:jc w:val="center"/>
      </w:pPr>
      <w:r>
        <w:rPr>
          <w:b/>
          <w:bCs/>
          <w:color w:val="1F4E79"/>
          <w:sz w:val="44"/>
          <w:szCs w:val="44"/>
        </w:rPr>
        <w:t>Statistical Analysis of</w:t>
      </w:r>
    </w:p>
    <w:p w:rsidR="004A3BA5" w:rsidRDefault="003B3735">
      <w:pPr>
        <w:spacing w:after="300"/>
        <w:jc w:val="center"/>
      </w:pPr>
      <w:r>
        <w:rPr>
          <w:b/>
          <w:bCs/>
          <w:color w:val="2E9E8F"/>
          <w:sz w:val="30"/>
          <w:szCs w:val="30"/>
        </w:rPr>
        <w:t>E-Governance Performance Metrics</w:t>
      </w:r>
    </w:p>
    <w:p w:rsidR="004A3BA5" w:rsidRPr="00B6129C" w:rsidRDefault="003B3735">
      <w:pPr>
        <w:spacing w:before="600"/>
        <w:jc w:val="center"/>
        <w:rPr>
          <w:sz w:val="28"/>
          <w:szCs w:val="28"/>
        </w:rPr>
      </w:pPr>
      <w:r w:rsidRPr="00B6129C">
        <w:rPr>
          <w:i/>
          <w:iCs/>
          <w:color w:val="595959"/>
          <w:sz w:val="28"/>
          <w:szCs w:val="28"/>
        </w:rPr>
        <w:t>Week 4 Task — Data Analyst Internship</w:t>
      </w:r>
    </w:p>
    <w:p w:rsidR="004A3BA5" w:rsidRPr="00B6129C" w:rsidRDefault="00B6129C">
      <w:pPr>
        <w:spacing w:before="900"/>
        <w:jc w:val="center"/>
        <w:rPr>
          <w:sz w:val="32"/>
          <w:szCs w:val="32"/>
        </w:rPr>
      </w:pPr>
      <w:r w:rsidRPr="00B6129C">
        <w:rPr>
          <w:sz w:val="32"/>
          <w:szCs w:val="32"/>
        </w:rPr>
        <w:t xml:space="preserve">Prepared by: </w:t>
      </w:r>
      <w:proofErr w:type="spellStart"/>
      <w:r w:rsidRPr="00B6129C">
        <w:rPr>
          <w:sz w:val="32"/>
          <w:szCs w:val="32"/>
        </w:rPr>
        <w:t>Chitranjan</w:t>
      </w:r>
      <w:proofErr w:type="spellEnd"/>
      <w:r w:rsidRPr="00B6129C">
        <w:rPr>
          <w:sz w:val="32"/>
          <w:szCs w:val="32"/>
        </w:rPr>
        <w:t xml:space="preserve"> </w:t>
      </w:r>
      <w:proofErr w:type="spellStart"/>
      <w:r w:rsidRPr="00B6129C">
        <w:rPr>
          <w:sz w:val="32"/>
          <w:szCs w:val="32"/>
        </w:rPr>
        <w:t>Vishwakarma</w:t>
      </w:r>
      <w:proofErr w:type="spellEnd"/>
    </w:p>
    <w:p w:rsidR="004A3BA5" w:rsidRPr="00B6129C" w:rsidRDefault="003B3735">
      <w:pPr>
        <w:spacing w:before="120"/>
        <w:jc w:val="center"/>
        <w:rPr>
          <w:sz w:val="28"/>
          <w:szCs w:val="28"/>
        </w:rPr>
      </w:pPr>
      <w:r w:rsidRPr="00B6129C">
        <w:rPr>
          <w:color w:val="595959"/>
          <w:sz w:val="28"/>
          <w:szCs w:val="28"/>
        </w:rPr>
        <w:t>September 2026</w:t>
      </w:r>
    </w:p>
    <w:p w:rsidR="004A3BA5" w:rsidRDefault="003B3735">
      <w:r>
        <w:br w:type="page"/>
      </w:r>
    </w:p>
    <w:p w:rsidR="004A3BA5" w:rsidRPr="00B6129C" w:rsidRDefault="003B3735">
      <w:pPr>
        <w:pStyle w:val="Heading1"/>
        <w:rPr>
          <w:sz w:val="32"/>
          <w:szCs w:val="32"/>
        </w:rPr>
      </w:pPr>
      <w:bookmarkStart w:id="0" w:name="_Toc240813144"/>
      <w:r w:rsidRPr="00B6129C">
        <w:rPr>
          <w:sz w:val="32"/>
          <w:szCs w:val="32"/>
        </w:rPr>
        <w:lastRenderedPageBreak/>
        <w:t>Table of Contents</w:t>
      </w:r>
      <w:bookmarkEnd w:id="0"/>
    </w:p>
    <w:sdt>
      <w:sdtPr>
        <w:rPr>
          <w:rFonts w:cs="Calibri"/>
          <w:sz w:val="28"/>
          <w:szCs w:val="28"/>
        </w:rPr>
        <w:alias w:val="Table of Contents"/>
        <w:id w:val="1475335369"/>
      </w:sdtPr>
      <w:sdtEndPr/>
      <w:sdtContent>
        <w:p w:rsidR="00B6129C" w:rsidRPr="00B6129C" w:rsidRDefault="003B3735">
          <w:pPr>
            <w:pStyle w:val="TOC1"/>
            <w:tabs>
              <w:tab w:val="right" w:leader="dot" w:pos="10070"/>
            </w:tabs>
            <w:rPr>
              <w:noProof/>
              <w:sz w:val="28"/>
              <w:szCs w:val="28"/>
            </w:rPr>
          </w:pPr>
          <w:r w:rsidRPr="00B6129C">
            <w:rPr>
              <w:sz w:val="28"/>
              <w:szCs w:val="28"/>
            </w:rPr>
            <w:fldChar w:fldCharType="begin"/>
          </w:r>
          <w:r w:rsidRPr="00B6129C">
            <w:rPr>
              <w:sz w:val="28"/>
              <w:szCs w:val="28"/>
            </w:rPr>
            <w:instrText>TOC \h \o "1-3"</w:instrText>
          </w:r>
          <w:r w:rsidRPr="00B6129C">
            <w:rPr>
              <w:sz w:val="28"/>
              <w:szCs w:val="28"/>
            </w:rPr>
            <w:fldChar w:fldCharType="separate"/>
          </w:r>
          <w:hyperlink w:anchor="_Toc240813144" w:history="1">
            <w:r w:rsidR="00B6129C" w:rsidRPr="00B6129C">
              <w:rPr>
                <w:rStyle w:val="Hyperlink"/>
                <w:noProof/>
                <w:sz w:val="28"/>
                <w:szCs w:val="28"/>
              </w:rPr>
              <w:t>Table of Contents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_Toc240813144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2</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45" w:history="1">
            <w:r w:rsidR="00B6129C" w:rsidRPr="00B6129C">
              <w:rPr>
                <w:rStyle w:val="Hyperlink"/>
                <w:noProof/>
                <w:sz w:val="28"/>
                <w:szCs w:val="28"/>
              </w:rPr>
              <w:t>1. Executive Summary</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_Toc240813145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3</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46" w:history="1">
            <w:r w:rsidR="00B6129C" w:rsidRPr="00B6129C">
              <w:rPr>
                <w:rStyle w:val="Hyperlink"/>
                <w:noProof/>
                <w:sz w:val="28"/>
                <w:szCs w:val="28"/>
              </w:rPr>
              <w:t>2. Objective and Scope</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_Toc240813146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3</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47" w:history="1">
            <w:r w:rsidR="00B6129C" w:rsidRPr="00B6129C">
              <w:rPr>
                <w:rStyle w:val="Hyperlink"/>
                <w:noProof/>
                <w:sz w:val="28"/>
                <w:szCs w:val="28"/>
              </w:rPr>
              <w:t>3. Metric Identification</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_Toc240813147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3</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48" w:history="1">
            <w:r w:rsidR="00B6129C" w:rsidRPr="00B6129C">
              <w:rPr>
                <w:rStyle w:val="Hyperlink"/>
                <w:noProof/>
                <w:sz w:val="28"/>
                <w:szCs w:val="28"/>
              </w:rPr>
              <w:t>4. Data Sourcing and Simulation Methodology</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_Toc240813148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3</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49" w:history="1">
            <w:r w:rsidR="00B6129C" w:rsidRPr="00B6129C">
              <w:rPr>
                <w:rStyle w:val="Hyperlink"/>
                <w:noProof/>
                <w:sz w:val="28"/>
                <w:szCs w:val="28"/>
              </w:rPr>
              <w:t>4.1 Real Data — Metrics 1 and 2</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_Toc240813149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3</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0" w:history="1">
            <w:r w:rsidR="00B6129C" w:rsidRPr="00B6129C">
              <w:rPr>
                <w:rStyle w:val="Hyperlink"/>
                <w:noProof/>
                <w:sz w:val="28"/>
                <w:szCs w:val="28"/>
              </w:rPr>
              <w:t>4.2 Simulated Data — Metric 3</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_Toc240813150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4</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51" w:history="1">
            <w:r w:rsidR="00B6129C" w:rsidRPr="00B6129C">
              <w:rPr>
                <w:rStyle w:val="Hyperlink"/>
                <w:noProof/>
                <w:sz w:val="28"/>
                <w:szCs w:val="28"/>
              </w:rPr>
              <w:t>5. Statistical Techniques Applied</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_Toc240813151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4</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2" w:history="1">
            <w:r w:rsidR="00B6129C" w:rsidRPr="00B6129C">
              <w:rPr>
                <w:rStyle w:val="Hyperlink"/>
                <w:noProof/>
                <w:sz w:val="28"/>
                <w:szCs w:val="28"/>
              </w:rPr>
              <w:t>5.1 Technique 1 — Pearson Correlation</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_Toc240813152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4</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3" w:history="1">
            <w:r w:rsidR="00B6129C" w:rsidRPr="00B6129C">
              <w:rPr>
                <w:rStyle w:val="Hyperlink"/>
                <w:noProof/>
                <w:sz w:val="28"/>
                <w:szCs w:val="28"/>
              </w:rPr>
              <w:t>5.2 Technique 2 — Multiple Linear Regression (OLS)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_Toc240813153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5</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4" w:history="1">
            <w:r w:rsidR="00B6129C" w:rsidRPr="00B6129C">
              <w:rPr>
                <w:rStyle w:val="Hyperlink"/>
                <w:noProof/>
                <w:sz w:val="28"/>
                <w:szCs w:val="28"/>
              </w:rPr>
              <w:t>5.3 Technique 3 (Bonus) — Independent-Samples t-test</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_Toc240813154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5</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55" w:history="1">
            <w:r w:rsidR="00B6129C" w:rsidRPr="00B6129C">
              <w:rPr>
                <w:rStyle w:val="Hyperlink"/>
                <w:noProof/>
                <w:sz w:val="28"/>
                <w:szCs w:val="28"/>
              </w:rPr>
              <w:t>6. Results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_Toc240813155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5</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6" w:history="1">
            <w:r w:rsidR="00B6129C" w:rsidRPr="00B6129C">
              <w:rPr>
                <w:rStyle w:val="Hyperlink"/>
                <w:noProof/>
                <w:sz w:val="28"/>
                <w:szCs w:val="28"/>
              </w:rPr>
              <w:t>6.1 Correlation Results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_Toc240813156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5</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7" w:history="1">
            <w:r w:rsidR="00B6129C" w:rsidRPr="00B6129C">
              <w:rPr>
                <w:rStyle w:val="Hyperlink"/>
                <w:noProof/>
                <w:sz w:val="28"/>
                <w:szCs w:val="28"/>
              </w:rPr>
              <w:t>6.2 Regression Results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_Toc240813157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6</w:t>
            </w:r>
            <w:r w:rsidR="00B6129C" w:rsidRPr="00B6129C">
              <w:rPr>
                <w:noProof/>
                <w:sz w:val="28"/>
                <w:szCs w:val="28"/>
              </w:rPr>
              <w:fldChar w:fldCharType="end"/>
            </w:r>
          </w:hyperlink>
        </w:p>
        <w:p w:rsidR="00B6129C" w:rsidRPr="00B6129C" w:rsidRDefault="00703DA4">
          <w:pPr>
            <w:pStyle w:val="TOC2"/>
            <w:tabs>
              <w:tab w:val="right" w:leader="dot" w:pos="10070"/>
            </w:tabs>
            <w:rPr>
              <w:noProof/>
              <w:sz w:val="28"/>
              <w:szCs w:val="28"/>
            </w:rPr>
          </w:pPr>
          <w:hyperlink w:anchor="_Toc240813158" w:history="1">
            <w:r w:rsidR="00B6129C" w:rsidRPr="00B6129C">
              <w:rPr>
                <w:rStyle w:val="Hyperlink"/>
                <w:noProof/>
                <w:sz w:val="28"/>
                <w:szCs w:val="28"/>
              </w:rPr>
              <w:t>6.3 T-Test Results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_Toc240813158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7</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59" w:history="1">
            <w:r w:rsidR="00B6129C" w:rsidRPr="00B6129C">
              <w:rPr>
                <w:rStyle w:val="Hyperlink"/>
                <w:noProof/>
                <w:sz w:val="28"/>
                <w:szCs w:val="28"/>
              </w:rPr>
              <w:t>7. Result Interpretation and Policy Discussion</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_Toc240813159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8</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60" w:history="1">
            <w:r w:rsidR="00B6129C" w:rsidRPr="00B6129C">
              <w:rPr>
                <w:rStyle w:val="Hyperlink"/>
                <w:noProof/>
                <w:sz w:val="28"/>
                <w:szCs w:val="28"/>
              </w:rPr>
              <w:t>8. Methodological Note — Consistency with Week 3</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_Toc240813160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8</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61" w:history="1">
            <w:r w:rsidR="00B6129C" w:rsidRPr="00B6129C">
              <w:rPr>
                <w:rStyle w:val="Hyperlink"/>
                <w:noProof/>
                <w:sz w:val="28"/>
                <w:szCs w:val="28"/>
              </w:rPr>
              <w:t>9. Limitations and Biases</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_Toc240813161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9</w:t>
            </w:r>
            <w:r w:rsidR="00B6129C" w:rsidRPr="00B6129C">
              <w:rPr>
                <w:noProof/>
                <w:sz w:val="28"/>
                <w:szCs w:val="28"/>
              </w:rPr>
              <w:fldChar w:fldCharType="end"/>
            </w:r>
          </w:hyperlink>
        </w:p>
        <w:p w:rsidR="00B6129C" w:rsidRPr="00B6129C" w:rsidRDefault="00703DA4">
          <w:pPr>
            <w:pStyle w:val="TOC1"/>
            <w:tabs>
              <w:tab w:val="right" w:leader="dot" w:pos="10070"/>
            </w:tabs>
            <w:rPr>
              <w:noProof/>
              <w:sz w:val="28"/>
              <w:szCs w:val="28"/>
            </w:rPr>
          </w:pPr>
          <w:hyperlink w:anchor="_Toc240813162" w:history="1">
            <w:r w:rsidR="00B6129C" w:rsidRPr="00B6129C">
              <w:rPr>
                <w:rStyle w:val="Hyperlink"/>
                <w:noProof/>
                <w:sz w:val="28"/>
                <w:szCs w:val="28"/>
              </w:rPr>
              <w:t>10. Conclusion</w:t>
            </w:r>
            <w:r w:rsidR="00B6129C" w:rsidRPr="00B6129C">
              <w:rPr>
                <w:noProof/>
                <w:sz w:val="28"/>
                <w:szCs w:val="28"/>
              </w:rPr>
              <w:tab/>
            </w:r>
            <w:r w:rsidR="00B6129C" w:rsidRPr="00B6129C">
              <w:rPr>
                <w:noProof/>
                <w:sz w:val="28"/>
                <w:szCs w:val="28"/>
              </w:rPr>
              <w:fldChar w:fldCharType="begin"/>
            </w:r>
            <w:r w:rsidR="00B6129C" w:rsidRPr="00B6129C">
              <w:rPr>
                <w:noProof/>
                <w:sz w:val="28"/>
                <w:szCs w:val="28"/>
              </w:rPr>
              <w:instrText xml:space="preserve"> PAGEREF _Toc240813162 \h </w:instrText>
            </w:r>
            <w:r w:rsidR="00B6129C" w:rsidRPr="00B6129C">
              <w:rPr>
                <w:noProof/>
                <w:sz w:val="28"/>
                <w:szCs w:val="28"/>
              </w:rPr>
            </w:r>
            <w:r w:rsidR="00B6129C" w:rsidRPr="00B6129C">
              <w:rPr>
                <w:noProof/>
                <w:sz w:val="28"/>
                <w:szCs w:val="28"/>
              </w:rPr>
              <w:fldChar w:fldCharType="separate"/>
            </w:r>
            <w:r w:rsidR="00B6129C" w:rsidRPr="00B6129C">
              <w:rPr>
                <w:noProof/>
                <w:sz w:val="28"/>
                <w:szCs w:val="28"/>
              </w:rPr>
              <w:t>9</w:t>
            </w:r>
            <w:r w:rsidR="00B6129C" w:rsidRPr="00B6129C">
              <w:rPr>
                <w:noProof/>
                <w:sz w:val="28"/>
                <w:szCs w:val="28"/>
              </w:rPr>
              <w:fldChar w:fldCharType="end"/>
            </w:r>
          </w:hyperlink>
        </w:p>
        <w:p w:rsidR="004A3BA5" w:rsidRDefault="003B3735">
          <w:r w:rsidRPr="00B6129C">
            <w:rPr>
              <w:sz w:val="28"/>
              <w:szCs w:val="28"/>
            </w:rPr>
            <w:fldChar w:fldCharType="end"/>
          </w:r>
        </w:p>
      </w:sdtContent>
    </w:sdt>
    <w:p w:rsidR="004A3BA5" w:rsidRDefault="003B3735">
      <w:r>
        <w:br w:type="page"/>
      </w:r>
    </w:p>
    <w:p w:rsidR="004A3BA5" w:rsidRPr="00B6129C" w:rsidRDefault="003B3735">
      <w:pPr>
        <w:pStyle w:val="Heading1"/>
        <w:rPr>
          <w:sz w:val="32"/>
          <w:szCs w:val="32"/>
        </w:rPr>
      </w:pPr>
      <w:bookmarkStart w:id="1" w:name="_Toc240813145"/>
      <w:r w:rsidRPr="00B6129C">
        <w:rPr>
          <w:sz w:val="32"/>
          <w:szCs w:val="32"/>
        </w:rPr>
        <w:lastRenderedPageBreak/>
        <w:t>1. Executive Summary</w:t>
      </w:r>
      <w:bookmarkEnd w:id="1"/>
    </w:p>
    <w:p w:rsidR="004A3BA5" w:rsidRPr="00B6129C" w:rsidRDefault="003B3735">
      <w:pPr>
        <w:spacing w:after="160" w:line="276" w:lineRule="auto"/>
        <w:rPr>
          <w:sz w:val="28"/>
          <w:szCs w:val="28"/>
        </w:rPr>
      </w:pPr>
      <w:r w:rsidRPr="00B6129C">
        <w:rPr>
          <w:sz w:val="28"/>
          <w:szCs w:val="28"/>
        </w:rPr>
        <w:t>This report applies statistical methods to three performance indicators of India's digital identity and public-service ecosystem: Service Efficiency (</w:t>
      </w:r>
      <w:proofErr w:type="spellStart"/>
      <w:r w:rsidRPr="00B6129C">
        <w:rPr>
          <w:sz w:val="28"/>
          <w:szCs w:val="28"/>
        </w:rPr>
        <w:t>Aadhaar</w:t>
      </w:r>
      <w:proofErr w:type="spellEnd"/>
      <w:r w:rsidRPr="00B6129C">
        <w:rPr>
          <w:sz w:val="28"/>
          <w:szCs w:val="28"/>
        </w:rPr>
        <w:t xml:space="preserve"> </w:t>
      </w:r>
      <w:proofErr w:type="spellStart"/>
      <w:r w:rsidRPr="00B6129C">
        <w:rPr>
          <w:sz w:val="28"/>
          <w:szCs w:val="28"/>
        </w:rPr>
        <w:t>enrollment</w:t>
      </w:r>
      <w:proofErr w:type="spellEnd"/>
      <w:r w:rsidRPr="00B6129C">
        <w:rPr>
          <w:sz w:val="28"/>
          <w:szCs w:val="28"/>
        </w:rPr>
        <w:t xml:space="preserve"> rejection rate), Access Equity (mobile-number capture rate), and User Satisfaction (a simulated index, transparently constructed and anchored to a real, cited external benchmark). Two required statistical techniques — Pearson correlation and multiple linear regression — plus a bonus independent-samples t-test were applied to 32 Indian states/UTs, after excluding states with fewer than 100 total enrolments as statistically unreliable.</w:t>
      </w:r>
    </w:p>
    <w:p w:rsidR="004A3BA5" w:rsidRPr="00B6129C" w:rsidRDefault="003B3735">
      <w:pPr>
        <w:spacing w:after="160" w:line="276" w:lineRule="auto"/>
        <w:rPr>
          <w:sz w:val="28"/>
          <w:szCs w:val="28"/>
        </w:rPr>
      </w:pPr>
      <w:r w:rsidRPr="00B6129C">
        <w:rPr>
          <w:sz w:val="28"/>
          <w:szCs w:val="28"/>
        </w:rPr>
        <w:t>Headline results: Mobile Capture Rate (Access Equity) is strongly and significantly associated with the Satisfaction Index (r=0.773, p&lt;0.001), while Rejection Rate (Service Efficiency) shows a moderate negative association (r=-0.445, p=0.011). A joint regression model explains 78.2% of the variance in the simulated Satisfaction Index (R²=0.782, F=52.0, p&lt;0.001). Rejection Rate and Mobile Capture Rate themselves show no meaningful relationship with each other (r=-0.020, p=0.913), replicating and refining a finding from the Week 3 EDA task with a stricter, bias-aware sample.</w:t>
      </w:r>
    </w:p>
    <w:p w:rsidR="004A3BA5" w:rsidRPr="00B6129C" w:rsidRDefault="003B3735">
      <w:pPr>
        <w:pStyle w:val="Heading1"/>
        <w:rPr>
          <w:sz w:val="32"/>
          <w:szCs w:val="32"/>
        </w:rPr>
      </w:pPr>
      <w:bookmarkStart w:id="2" w:name="_Toc240813146"/>
      <w:r w:rsidRPr="00B6129C">
        <w:rPr>
          <w:sz w:val="32"/>
          <w:szCs w:val="32"/>
        </w:rPr>
        <w:t>2. Objective and Scope</w:t>
      </w:r>
      <w:bookmarkEnd w:id="2"/>
    </w:p>
    <w:p w:rsidR="004A3BA5" w:rsidRPr="00B6129C" w:rsidRDefault="003B3735">
      <w:pPr>
        <w:spacing w:after="160" w:line="276" w:lineRule="auto"/>
        <w:rPr>
          <w:sz w:val="28"/>
          <w:szCs w:val="28"/>
        </w:rPr>
      </w:pPr>
      <w:r w:rsidRPr="00B6129C">
        <w:rPr>
          <w:sz w:val="28"/>
          <w:szCs w:val="28"/>
        </w:rPr>
        <w:t>The objective is to identify at least three performance indicators relevant to digitalized public services, apply at least two statistical techniques to validate relationships between them, and interpret the results for policy and operational relevance — using only publicly accessible data and transparent, documented simulation where real granular data does not exist.</w:t>
      </w:r>
    </w:p>
    <w:p w:rsidR="004A3BA5" w:rsidRPr="00B6129C" w:rsidRDefault="003B3735">
      <w:pPr>
        <w:pStyle w:val="Heading1"/>
        <w:rPr>
          <w:sz w:val="32"/>
          <w:szCs w:val="32"/>
        </w:rPr>
      </w:pPr>
      <w:bookmarkStart w:id="3" w:name="_Toc240813147"/>
      <w:r w:rsidRPr="00B6129C">
        <w:rPr>
          <w:sz w:val="32"/>
          <w:szCs w:val="32"/>
        </w:rPr>
        <w:t>3. Metric Identification</w:t>
      </w:r>
      <w:bookmarkEnd w:id="3"/>
    </w:p>
    <w:p w:rsidR="004A3BA5" w:rsidRPr="00B6129C" w:rsidRDefault="003B3735">
      <w:pPr>
        <w:spacing w:after="160" w:line="276" w:lineRule="auto"/>
        <w:rPr>
          <w:sz w:val="28"/>
          <w:szCs w:val="28"/>
        </w:rPr>
      </w:pPr>
      <w:r w:rsidRPr="00B6129C">
        <w:rPr>
          <w:sz w:val="28"/>
          <w:szCs w:val="28"/>
        </w:rPr>
        <w:t>Three metrics were selected to span efficiency, equity, and experience — the three dimensions the Week 1 strategic plan identified as core to e-governance performance measurement:</w:t>
      </w:r>
    </w:p>
    <w:tbl>
      <w:tblPr>
        <w:tblW w:w="9999"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766"/>
        <w:gridCol w:w="2553"/>
        <w:gridCol w:w="2340"/>
      </w:tblGrid>
      <w:tr w:rsidR="004A3BA5" w:rsidTr="009F19D4">
        <w:trPr>
          <w:cantSplit/>
          <w:trHeight w:val="150"/>
          <w:tblHeader/>
        </w:trPr>
        <w:tc>
          <w:tcPr>
            <w:tcW w:w="2340"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Metric</w:t>
            </w:r>
          </w:p>
        </w:tc>
        <w:tc>
          <w:tcPr>
            <w:tcW w:w="2766"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Definition</w:t>
            </w:r>
          </w:p>
        </w:tc>
        <w:tc>
          <w:tcPr>
            <w:tcW w:w="2553"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Data Type</w:t>
            </w:r>
          </w:p>
        </w:tc>
        <w:tc>
          <w:tcPr>
            <w:tcW w:w="2340"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Source</w:t>
            </w:r>
          </w:p>
        </w:tc>
      </w:tr>
      <w:tr w:rsidR="004A3BA5" w:rsidTr="009F19D4">
        <w:trPr>
          <w:cantSplit/>
          <w:trHeight w:val="150"/>
        </w:trPr>
        <w:tc>
          <w:tcPr>
            <w:tcW w:w="234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1. Service Efficiency</w:t>
            </w:r>
          </w:p>
        </w:tc>
        <w:tc>
          <w:tcPr>
            <w:tcW w:w="2766" w:type="dxa"/>
            <w:tcMar>
              <w:top w:w="80" w:type="dxa"/>
              <w:left w:w="120" w:type="dxa"/>
              <w:bottom w:w="80" w:type="dxa"/>
              <w:right w:w="120" w:type="dxa"/>
            </w:tcMar>
            <w:vAlign w:val="center"/>
          </w:tcPr>
          <w:p w:rsidR="004A3BA5" w:rsidRPr="00B6129C" w:rsidRDefault="003B3735">
            <w:pPr>
              <w:rPr>
                <w:sz w:val="24"/>
                <w:szCs w:val="24"/>
              </w:rPr>
            </w:pPr>
            <w:proofErr w:type="spellStart"/>
            <w:r w:rsidRPr="00B6129C">
              <w:rPr>
                <w:color w:val="000000"/>
                <w:sz w:val="24"/>
                <w:szCs w:val="24"/>
              </w:rPr>
              <w:t>Aadhaar</w:t>
            </w:r>
            <w:proofErr w:type="spellEnd"/>
            <w:r w:rsidRPr="00B6129C">
              <w:rPr>
                <w:color w:val="000000"/>
                <w:sz w:val="24"/>
                <w:szCs w:val="24"/>
              </w:rPr>
              <w:t xml:space="preserve"> </w:t>
            </w:r>
            <w:proofErr w:type="spellStart"/>
            <w:r w:rsidRPr="00B6129C">
              <w:rPr>
                <w:color w:val="000000"/>
                <w:sz w:val="24"/>
                <w:szCs w:val="24"/>
              </w:rPr>
              <w:t>enrollment</w:t>
            </w:r>
            <w:proofErr w:type="spellEnd"/>
            <w:r w:rsidRPr="00B6129C">
              <w:rPr>
                <w:color w:val="000000"/>
                <w:sz w:val="24"/>
                <w:szCs w:val="24"/>
              </w:rPr>
              <w:t xml:space="preserve"> rejection rate per state (inverse efficiency indicator)</w:t>
            </w:r>
          </w:p>
        </w:tc>
        <w:tc>
          <w:tcPr>
            <w:tcW w:w="2553"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Real, measured</w:t>
            </w:r>
          </w:p>
        </w:tc>
        <w:tc>
          <w:tcPr>
            <w:tcW w:w="234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 xml:space="preserve">UIDAI </w:t>
            </w:r>
            <w:proofErr w:type="spellStart"/>
            <w:r w:rsidRPr="00B6129C">
              <w:rPr>
                <w:color w:val="000000"/>
                <w:sz w:val="24"/>
                <w:szCs w:val="24"/>
              </w:rPr>
              <w:t>enrollment</w:t>
            </w:r>
            <w:proofErr w:type="spellEnd"/>
            <w:r w:rsidRPr="00B6129C">
              <w:rPr>
                <w:color w:val="000000"/>
                <w:sz w:val="24"/>
                <w:szCs w:val="24"/>
              </w:rPr>
              <w:t xml:space="preserve"> records (NDSAP)</w:t>
            </w:r>
          </w:p>
        </w:tc>
      </w:tr>
      <w:tr w:rsidR="004A3BA5" w:rsidTr="009F19D4">
        <w:trPr>
          <w:cantSplit/>
          <w:trHeight w:val="1211"/>
        </w:trPr>
        <w:tc>
          <w:tcPr>
            <w:tcW w:w="234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lastRenderedPageBreak/>
              <w:t>2. Access Equity</w:t>
            </w:r>
          </w:p>
        </w:tc>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Mobile-number capture rate per state (proxy for digital access infrastructure)</w:t>
            </w:r>
          </w:p>
        </w:tc>
        <w:tc>
          <w:tcPr>
            <w:tcW w:w="2553"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Real, measured</w:t>
            </w:r>
          </w:p>
        </w:tc>
        <w:tc>
          <w:tcPr>
            <w:tcW w:w="234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 xml:space="preserve">UIDAI </w:t>
            </w:r>
            <w:proofErr w:type="spellStart"/>
            <w:r w:rsidRPr="00B6129C">
              <w:rPr>
                <w:color w:val="000000"/>
                <w:sz w:val="24"/>
                <w:szCs w:val="24"/>
              </w:rPr>
              <w:t>enrollment</w:t>
            </w:r>
            <w:proofErr w:type="spellEnd"/>
            <w:r w:rsidRPr="00B6129C">
              <w:rPr>
                <w:color w:val="000000"/>
                <w:sz w:val="24"/>
                <w:szCs w:val="24"/>
              </w:rPr>
              <w:t xml:space="preserve"> records (NDSAP)</w:t>
            </w:r>
          </w:p>
        </w:tc>
      </w:tr>
      <w:tr w:rsidR="004A3BA5" w:rsidTr="009F19D4">
        <w:trPr>
          <w:cantSplit/>
          <w:trHeight w:val="1835"/>
        </w:trPr>
        <w:tc>
          <w:tcPr>
            <w:tcW w:w="234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3. User Satisfaction</w:t>
            </w:r>
          </w:p>
        </w:tc>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Simulated 0-100 citizen satisfaction index per state</w:t>
            </w:r>
          </w:p>
        </w:tc>
        <w:tc>
          <w:tcPr>
            <w:tcW w:w="2553"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Simulated, anchored to a real external benchmark</w:t>
            </w:r>
          </w:p>
        </w:tc>
        <w:tc>
          <w:tcPr>
            <w:tcW w:w="2340" w:type="dxa"/>
            <w:tcMar>
              <w:top w:w="80" w:type="dxa"/>
              <w:left w:w="120" w:type="dxa"/>
              <w:bottom w:w="80" w:type="dxa"/>
              <w:right w:w="120" w:type="dxa"/>
            </w:tcMar>
            <w:vAlign w:val="center"/>
          </w:tcPr>
          <w:p w:rsidR="004A3BA5" w:rsidRPr="00B6129C" w:rsidRDefault="003B3735">
            <w:pPr>
              <w:rPr>
                <w:sz w:val="24"/>
                <w:szCs w:val="24"/>
              </w:rPr>
            </w:pPr>
            <w:proofErr w:type="spellStart"/>
            <w:r w:rsidRPr="00B6129C">
              <w:rPr>
                <w:color w:val="000000"/>
                <w:sz w:val="24"/>
                <w:szCs w:val="24"/>
              </w:rPr>
              <w:t>DigiLocker</w:t>
            </w:r>
            <w:proofErr w:type="spellEnd"/>
            <w:r w:rsidRPr="00B6129C">
              <w:rPr>
                <w:color w:val="000000"/>
                <w:sz w:val="24"/>
                <w:szCs w:val="24"/>
              </w:rPr>
              <w:t xml:space="preserve"> Google Play Store rating (4.1/5, 628,153 reviews) + documented formula</w:t>
            </w:r>
          </w:p>
        </w:tc>
      </w:tr>
    </w:tbl>
    <w:p w:rsidR="004A3BA5" w:rsidRDefault="004A3BA5">
      <w:pPr>
        <w:spacing w:after="200"/>
      </w:pPr>
    </w:p>
    <w:p w:rsidR="004A3BA5" w:rsidRPr="00B6129C" w:rsidRDefault="003B3735">
      <w:pPr>
        <w:pStyle w:val="Heading1"/>
        <w:rPr>
          <w:sz w:val="32"/>
          <w:szCs w:val="32"/>
        </w:rPr>
      </w:pPr>
      <w:bookmarkStart w:id="4" w:name="_Toc240813148"/>
      <w:r w:rsidRPr="00B6129C">
        <w:rPr>
          <w:sz w:val="32"/>
          <w:szCs w:val="32"/>
        </w:rPr>
        <w:t>4. Data Sourcing and Simulation Methodology</w:t>
      </w:r>
      <w:bookmarkEnd w:id="4"/>
    </w:p>
    <w:p w:rsidR="004A3BA5" w:rsidRPr="00B6129C" w:rsidRDefault="003B3735">
      <w:pPr>
        <w:pStyle w:val="Heading2"/>
        <w:rPr>
          <w:sz w:val="28"/>
          <w:szCs w:val="28"/>
        </w:rPr>
      </w:pPr>
      <w:bookmarkStart w:id="5" w:name="_Toc240813149"/>
      <w:r w:rsidRPr="00B6129C">
        <w:rPr>
          <w:sz w:val="28"/>
          <w:szCs w:val="28"/>
        </w:rPr>
        <w:t>4.1 Real Data — Metrics 1 and 2</w:t>
      </w:r>
      <w:bookmarkEnd w:id="5"/>
    </w:p>
    <w:p w:rsidR="004A3BA5" w:rsidRPr="00B6129C" w:rsidRDefault="003B3735">
      <w:pPr>
        <w:spacing w:after="160" w:line="276" w:lineRule="auto"/>
        <w:rPr>
          <w:sz w:val="28"/>
          <w:szCs w:val="28"/>
        </w:rPr>
      </w:pPr>
      <w:r w:rsidRPr="00B6129C">
        <w:rPr>
          <w:sz w:val="28"/>
          <w:szCs w:val="28"/>
        </w:rPr>
        <w:t xml:space="preserve">Service Efficiency and Access Equity are computed directly from the cleaned UIDAI </w:t>
      </w:r>
      <w:proofErr w:type="spellStart"/>
      <w:r w:rsidRPr="00B6129C">
        <w:rPr>
          <w:sz w:val="28"/>
          <w:szCs w:val="28"/>
        </w:rPr>
        <w:t>Aadhaar</w:t>
      </w:r>
      <w:proofErr w:type="spellEnd"/>
      <w:r w:rsidRPr="00B6129C">
        <w:rPr>
          <w:sz w:val="28"/>
          <w:szCs w:val="28"/>
        </w:rPr>
        <w:t xml:space="preserve"> </w:t>
      </w:r>
      <w:proofErr w:type="spellStart"/>
      <w:r w:rsidRPr="00B6129C">
        <w:rPr>
          <w:sz w:val="28"/>
          <w:szCs w:val="28"/>
        </w:rPr>
        <w:t>enrollment</w:t>
      </w:r>
      <w:proofErr w:type="spellEnd"/>
      <w:r w:rsidRPr="00B6129C">
        <w:rPr>
          <w:sz w:val="28"/>
          <w:szCs w:val="28"/>
        </w:rPr>
        <w:t xml:space="preserve"> dataset (440,817 records, Weeks 1-3), aggregated to state level. States with fewer than 100 total enrolments in this extract (5 of the original 37) were excluded before analysis, following the small-sample bias identified in the Week 2/3 tasks — this leaves n=32 states/UTs for all statistical tests in this report.</w:t>
      </w:r>
    </w:p>
    <w:p w:rsidR="004A3BA5" w:rsidRPr="00B6129C" w:rsidRDefault="003B3735">
      <w:pPr>
        <w:pStyle w:val="Heading2"/>
        <w:rPr>
          <w:sz w:val="28"/>
          <w:szCs w:val="28"/>
        </w:rPr>
      </w:pPr>
      <w:bookmarkStart w:id="6" w:name="_Toc240813150"/>
      <w:r w:rsidRPr="00B6129C">
        <w:rPr>
          <w:sz w:val="28"/>
          <w:szCs w:val="28"/>
        </w:rPr>
        <w:t>4.2 Simulated Data — Metric 3</w:t>
      </w:r>
      <w:bookmarkEnd w:id="6"/>
    </w:p>
    <w:p w:rsidR="004A3BA5" w:rsidRPr="00B6129C" w:rsidRDefault="003B3735">
      <w:pPr>
        <w:spacing w:after="160" w:line="276" w:lineRule="auto"/>
        <w:rPr>
          <w:sz w:val="28"/>
          <w:szCs w:val="28"/>
        </w:rPr>
      </w:pPr>
      <w:r w:rsidRPr="00B6129C">
        <w:rPr>
          <w:sz w:val="28"/>
          <w:szCs w:val="28"/>
        </w:rPr>
        <w:t xml:space="preserve">No granular, state-wise, publicly available dataset of citizen satisfaction with </w:t>
      </w:r>
      <w:proofErr w:type="spellStart"/>
      <w:r w:rsidRPr="00B6129C">
        <w:rPr>
          <w:sz w:val="28"/>
          <w:szCs w:val="28"/>
        </w:rPr>
        <w:t>Aadhaar</w:t>
      </w:r>
      <w:proofErr w:type="spellEnd"/>
      <w:r w:rsidRPr="00B6129C">
        <w:rPr>
          <w:sz w:val="28"/>
          <w:szCs w:val="28"/>
        </w:rPr>
        <w:t xml:space="preserve"> or related digital services exists. Per the task's explicit allowance to simulate data "based on publicly available information or plausible assumptions," a Satisfaction Index was constructed using a real external anchor and a fully documented formula:</w:t>
      </w:r>
    </w:p>
    <w:p w:rsidR="004A3BA5" w:rsidRPr="00B6129C" w:rsidRDefault="003B3735">
      <w:pPr>
        <w:spacing w:after="160" w:line="276" w:lineRule="auto"/>
        <w:rPr>
          <w:sz w:val="28"/>
          <w:szCs w:val="28"/>
        </w:rPr>
      </w:pPr>
      <w:r w:rsidRPr="00B6129C">
        <w:rPr>
          <w:sz w:val="28"/>
          <w:szCs w:val="28"/>
        </w:rPr>
        <w:t xml:space="preserve">Satisfaction (0-100) = Baseline + 0.25 × (Mobile Capture Rate − national mean) × 100 − 0.90 × (Rejection Rate − national mean) × 100 + </w:t>
      </w:r>
      <w:proofErr w:type="gramStart"/>
      <w:r w:rsidRPr="00B6129C">
        <w:rPr>
          <w:sz w:val="28"/>
          <w:szCs w:val="28"/>
        </w:rPr>
        <w:t>Noise(</w:t>
      </w:r>
      <w:proofErr w:type="gramEnd"/>
      <w:r w:rsidRPr="00B6129C">
        <w:rPr>
          <w:sz w:val="28"/>
          <w:szCs w:val="28"/>
        </w:rPr>
        <w:t>0, 3)</w:t>
      </w:r>
    </w:p>
    <w:tbl>
      <w:tblPr>
        <w:tblW w:w="10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6"/>
        <w:gridCol w:w="7234"/>
      </w:tblGrid>
      <w:tr w:rsidR="004A3BA5" w:rsidTr="009F19D4">
        <w:trPr>
          <w:cantSplit/>
          <w:trHeight w:val="146"/>
          <w:tblHeader/>
        </w:trPr>
        <w:tc>
          <w:tcPr>
            <w:tcW w:w="2766"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Parameter</w:t>
            </w:r>
          </w:p>
        </w:tc>
        <w:tc>
          <w:tcPr>
            <w:tcW w:w="7234"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Value / Justification</w:t>
            </w:r>
          </w:p>
        </w:tc>
      </w:tr>
      <w:tr w:rsidR="004A3BA5" w:rsidTr="009F19D4">
        <w:trPr>
          <w:cantSplit/>
          <w:trHeight w:val="146"/>
        </w:trPr>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Baseline</w:t>
            </w:r>
          </w:p>
        </w:tc>
        <w:tc>
          <w:tcPr>
            <w:tcW w:w="7234"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 xml:space="preserve">82.0 — derived from </w:t>
            </w:r>
            <w:proofErr w:type="spellStart"/>
            <w:r w:rsidRPr="00B6129C">
              <w:rPr>
                <w:color w:val="000000"/>
                <w:sz w:val="24"/>
                <w:szCs w:val="24"/>
              </w:rPr>
              <w:t>DigiLocker's</w:t>
            </w:r>
            <w:proofErr w:type="spellEnd"/>
            <w:r w:rsidRPr="00B6129C">
              <w:rPr>
                <w:color w:val="000000"/>
                <w:sz w:val="24"/>
                <w:szCs w:val="24"/>
              </w:rPr>
              <w:t xml:space="preserve"> real Google Play Store rating of 4.1/5 stars (628,153 reviews), rescaled to a 0-100 index (4.1/5 = 82%)</w:t>
            </w:r>
          </w:p>
        </w:tc>
      </w:tr>
      <w:tr w:rsidR="004A3BA5" w:rsidTr="009F19D4">
        <w:trPr>
          <w:cantSplit/>
          <w:trHeight w:val="146"/>
        </w:trPr>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Mobile-capture sensitivity (A1)</w:t>
            </w:r>
          </w:p>
        </w:tc>
        <w:tc>
          <w:tcPr>
            <w:tcW w:w="7234"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+0.25 per percentage point above the national mean — assumption: greater digital access modestly improves perceived satisfaction</w:t>
            </w:r>
          </w:p>
        </w:tc>
      </w:tr>
      <w:tr w:rsidR="004A3BA5" w:rsidTr="009F19D4">
        <w:trPr>
          <w:cantSplit/>
          <w:trHeight w:val="891"/>
        </w:trPr>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lastRenderedPageBreak/>
              <w:t>Rejection-rate sensitivity (A2)</w:t>
            </w:r>
          </w:p>
        </w:tc>
        <w:tc>
          <w:tcPr>
            <w:tcW w:w="7234"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-0.90 per percentage point above the national mean — assumption: a rejected application is a direct negative experience, weighted more heavily than the indirect access proxy</w:t>
            </w:r>
          </w:p>
        </w:tc>
      </w:tr>
      <w:tr w:rsidR="004A3BA5" w:rsidTr="009F19D4">
        <w:trPr>
          <w:cantSplit/>
          <w:trHeight w:val="891"/>
        </w:trPr>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Noise term</w:t>
            </w:r>
          </w:p>
        </w:tc>
        <w:tc>
          <w:tcPr>
            <w:tcW w:w="7234"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Gaussian, mean 0, SD = 3.0 points — represents unmeasured factors (local service quality, language support, staff conduct) this simulation cannot observe</w:t>
            </w:r>
          </w:p>
        </w:tc>
      </w:tr>
      <w:tr w:rsidR="004A3BA5" w:rsidTr="009F19D4">
        <w:trPr>
          <w:cantSplit/>
          <w:trHeight w:val="598"/>
        </w:trPr>
        <w:tc>
          <w:tcPr>
            <w:tcW w:w="2766"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Random seed</w:t>
            </w:r>
          </w:p>
        </w:tc>
        <w:tc>
          <w:tcPr>
            <w:tcW w:w="7234"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42 — fixed for full reproducibility; re-running the script yields identical values</w:t>
            </w:r>
          </w:p>
        </w:tc>
      </w:tr>
    </w:tbl>
    <w:p w:rsidR="004A3BA5" w:rsidRDefault="004A3BA5">
      <w:pPr>
        <w:spacing w:after="200"/>
      </w:pPr>
    </w:p>
    <w:p w:rsidR="004A3BA5" w:rsidRPr="00B6129C" w:rsidRDefault="003B3735">
      <w:pPr>
        <w:spacing w:after="160" w:line="276" w:lineRule="auto"/>
        <w:rPr>
          <w:sz w:val="28"/>
          <w:szCs w:val="28"/>
        </w:rPr>
      </w:pPr>
      <w:r w:rsidRPr="00B6129C">
        <w:rPr>
          <w:sz w:val="28"/>
          <w:szCs w:val="28"/>
        </w:rPr>
        <w:t>This construction is fully transparent and reproducible (fixed seed = 42) — critically, it is designed to let the statistical techniques below be demonstrated meaningfully, not to manufacture a predetermined conclusion about real citizen sentiment. Section 8 discusses exactly what can and cannot be concluded from a simulated dependent variable.</w:t>
      </w:r>
    </w:p>
    <w:p w:rsidR="004A3BA5" w:rsidRPr="00B6129C" w:rsidRDefault="003B3735">
      <w:pPr>
        <w:pStyle w:val="Heading1"/>
        <w:rPr>
          <w:sz w:val="32"/>
          <w:szCs w:val="32"/>
        </w:rPr>
      </w:pPr>
      <w:bookmarkStart w:id="7" w:name="_Toc240813151"/>
      <w:r w:rsidRPr="00B6129C">
        <w:rPr>
          <w:sz w:val="32"/>
          <w:szCs w:val="32"/>
        </w:rPr>
        <w:t>5. Statistical Techniques Applied</w:t>
      </w:r>
      <w:bookmarkEnd w:id="7"/>
    </w:p>
    <w:p w:rsidR="004A3BA5" w:rsidRPr="00B6129C" w:rsidRDefault="003B3735">
      <w:pPr>
        <w:pStyle w:val="Heading2"/>
        <w:rPr>
          <w:sz w:val="28"/>
          <w:szCs w:val="28"/>
        </w:rPr>
      </w:pPr>
      <w:bookmarkStart w:id="8" w:name="_Toc240813152"/>
      <w:r w:rsidRPr="00B6129C">
        <w:rPr>
          <w:sz w:val="28"/>
          <w:szCs w:val="28"/>
        </w:rPr>
        <w:t>5.1 Technique 1 — Pearson Correlation</w:t>
      </w:r>
      <w:bookmarkEnd w:id="8"/>
    </w:p>
    <w:p w:rsidR="004A3BA5" w:rsidRPr="00B6129C" w:rsidRDefault="003B3735">
      <w:pPr>
        <w:spacing w:after="160" w:line="276" w:lineRule="auto"/>
        <w:rPr>
          <w:sz w:val="28"/>
          <w:szCs w:val="28"/>
        </w:rPr>
      </w:pPr>
      <w:r w:rsidRPr="00B6129C">
        <w:rPr>
          <w:sz w:val="28"/>
          <w:szCs w:val="28"/>
        </w:rPr>
        <w:t>Rationale: Pearson correlation quantifies the strength and direction of a linear relationship between two continuous variables, and is the standard first step before any regression modelling. It was applied pairwise across all three metrics.</w:t>
      </w:r>
    </w:p>
    <w:p w:rsidR="004A3BA5" w:rsidRPr="00B6129C" w:rsidRDefault="003B3735">
      <w:pPr>
        <w:pStyle w:val="ListParagraph"/>
        <w:numPr>
          <w:ilvl w:val="0"/>
          <w:numId w:val="1"/>
        </w:numPr>
        <w:spacing w:after="100"/>
        <w:rPr>
          <w:sz w:val="28"/>
          <w:szCs w:val="28"/>
        </w:rPr>
      </w:pPr>
      <w:r w:rsidRPr="00B6129C">
        <w:rPr>
          <w:sz w:val="28"/>
          <w:szCs w:val="28"/>
        </w:rPr>
        <w:t>Step 1: Confirm both variables are continuous and approximately linearly related (checked via scatterplots, Figures 2-3).</w:t>
      </w:r>
    </w:p>
    <w:p w:rsidR="004A3BA5" w:rsidRPr="00B6129C" w:rsidRDefault="003B3735">
      <w:pPr>
        <w:pStyle w:val="ListParagraph"/>
        <w:numPr>
          <w:ilvl w:val="0"/>
          <w:numId w:val="1"/>
        </w:numPr>
        <w:spacing w:after="100"/>
        <w:rPr>
          <w:sz w:val="28"/>
          <w:szCs w:val="28"/>
        </w:rPr>
      </w:pPr>
      <w:r w:rsidRPr="00B6129C">
        <w:rPr>
          <w:sz w:val="28"/>
          <w:szCs w:val="28"/>
        </w:rPr>
        <w:t xml:space="preserve">Step 2: Compute Pearson r and its associated p-value (two-tailed test, α=0.05) using </w:t>
      </w:r>
      <w:proofErr w:type="spellStart"/>
      <w:r w:rsidRPr="00B6129C">
        <w:rPr>
          <w:sz w:val="28"/>
          <w:szCs w:val="28"/>
        </w:rPr>
        <w:t>scipy.stats.pearsonr</w:t>
      </w:r>
      <w:proofErr w:type="spellEnd"/>
      <w:r w:rsidRPr="00B6129C">
        <w:rPr>
          <w:sz w:val="28"/>
          <w:szCs w:val="28"/>
        </w:rPr>
        <w:t>.</w:t>
      </w:r>
    </w:p>
    <w:p w:rsidR="004A3BA5" w:rsidRPr="00B6129C" w:rsidRDefault="003B3735">
      <w:pPr>
        <w:pStyle w:val="ListParagraph"/>
        <w:numPr>
          <w:ilvl w:val="0"/>
          <w:numId w:val="1"/>
        </w:numPr>
        <w:spacing w:after="100"/>
        <w:rPr>
          <w:sz w:val="28"/>
          <w:szCs w:val="28"/>
        </w:rPr>
      </w:pPr>
      <w:r w:rsidRPr="00B6129C">
        <w:rPr>
          <w:sz w:val="28"/>
          <w:szCs w:val="28"/>
        </w:rPr>
        <w:t>Step 3: Interpret magnitude using standard conventions (|r|&lt;0.3 weak, 0.3-0.6 moderate, &gt;0.6 strong) alongside statistical significance.</w:t>
      </w:r>
    </w:p>
    <w:p w:rsidR="004A3BA5" w:rsidRPr="00B6129C" w:rsidRDefault="003B3735">
      <w:pPr>
        <w:pStyle w:val="Heading2"/>
        <w:rPr>
          <w:sz w:val="28"/>
          <w:szCs w:val="28"/>
        </w:rPr>
      </w:pPr>
      <w:bookmarkStart w:id="9" w:name="_Toc240813153"/>
      <w:r w:rsidRPr="00B6129C">
        <w:rPr>
          <w:sz w:val="28"/>
          <w:szCs w:val="28"/>
        </w:rPr>
        <w:t>5.2 Technique 2 — Multiple Linear Regression (OLS)</w:t>
      </w:r>
      <w:bookmarkEnd w:id="9"/>
    </w:p>
    <w:p w:rsidR="004A3BA5" w:rsidRPr="00B6129C" w:rsidRDefault="003B3735">
      <w:pPr>
        <w:spacing w:after="160" w:line="276" w:lineRule="auto"/>
        <w:rPr>
          <w:sz w:val="28"/>
          <w:szCs w:val="28"/>
        </w:rPr>
      </w:pPr>
      <w:r w:rsidRPr="00B6129C">
        <w:rPr>
          <w:sz w:val="28"/>
          <w:szCs w:val="28"/>
        </w:rPr>
        <w:t>Rationale: while correlation shows pairwise association, regression tests whether Rejection Rate and Mobile Capture Rate jointly and independently predict the Satisfaction Index, and quantifies the expected change in satisfaction per unit change in each predictor, holding the other constant.</w:t>
      </w:r>
    </w:p>
    <w:p w:rsidR="004A3BA5" w:rsidRPr="00B6129C" w:rsidRDefault="003B3735">
      <w:pPr>
        <w:pStyle w:val="ListParagraph"/>
        <w:numPr>
          <w:ilvl w:val="0"/>
          <w:numId w:val="1"/>
        </w:numPr>
        <w:spacing w:after="100"/>
        <w:rPr>
          <w:sz w:val="28"/>
          <w:szCs w:val="28"/>
        </w:rPr>
      </w:pPr>
      <w:r w:rsidRPr="00B6129C">
        <w:rPr>
          <w:sz w:val="28"/>
          <w:szCs w:val="28"/>
        </w:rPr>
        <w:lastRenderedPageBreak/>
        <w:t xml:space="preserve">Step 1: Specify the model — </w:t>
      </w:r>
      <w:proofErr w:type="spellStart"/>
      <w:r w:rsidRPr="00B6129C">
        <w:rPr>
          <w:sz w:val="28"/>
          <w:szCs w:val="28"/>
        </w:rPr>
        <w:t>SatisfactionIndex</w:t>
      </w:r>
      <w:proofErr w:type="spellEnd"/>
      <w:r w:rsidRPr="00B6129C">
        <w:rPr>
          <w:sz w:val="28"/>
          <w:szCs w:val="28"/>
        </w:rPr>
        <w:t xml:space="preserve"> ~ </w:t>
      </w:r>
      <w:proofErr w:type="spellStart"/>
      <w:r w:rsidRPr="00B6129C">
        <w:rPr>
          <w:sz w:val="28"/>
          <w:szCs w:val="28"/>
        </w:rPr>
        <w:t>const</w:t>
      </w:r>
      <w:proofErr w:type="spellEnd"/>
      <w:r w:rsidRPr="00B6129C">
        <w:rPr>
          <w:sz w:val="28"/>
          <w:szCs w:val="28"/>
        </w:rPr>
        <w:t xml:space="preserve"> + </w:t>
      </w:r>
      <w:proofErr w:type="spellStart"/>
      <w:r w:rsidRPr="00B6129C">
        <w:rPr>
          <w:sz w:val="28"/>
          <w:szCs w:val="28"/>
        </w:rPr>
        <w:t>RejectionRate</w:t>
      </w:r>
      <w:proofErr w:type="spellEnd"/>
      <w:r w:rsidRPr="00B6129C">
        <w:rPr>
          <w:sz w:val="28"/>
          <w:szCs w:val="28"/>
        </w:rPr>
        <w:t xml:space="preserve"> + </w:t>
      </w:r>
      <w:proofErr w:type="spellStart"/>
      <w:r w:rsidRPr="00B6129C">
        <w:rPr>
          <w:sz w:val="28"/>
          <w:szCs w:val="28"/>
        </w:rPr>
        <w:t>MobileCaptureRate</w:t>
      </w:r>
      <w:proofErr w:type="spellEnd"/>
      <w:r w:rsidRPr="00B6129C">
        <w:rPr>
          <w:sz w:val="28"/>
          <w:szCs w:val="28"/>
        </w:rPr>
        <w:t>.</w:t>
      </w:r>
    </w:p>
    <w:p w:rsidR="004A3BA5" w:rsidRPr="00B6129C" w:rsidRDefault="003B3735">
      <w:pPr>
        <w:pStyle w:val="ListParagraph"/>
        <w:numPr>
          <w:ilvl w:val="0"/>
          <w:numId w:val="1"/>
        </w:numPr>
        <w:spacing w:after="100"/>
        <w:rPr>
          <w:sz w:val="28"/>
          <w:szCs w:val="28"/>
        </w:rPr>
      </w:pPr>
      <w:r w:rsidRPr="00B6129C">
        <w:rPr>
          <w:sz w:val="28"/>
          <w:szCs w:val="28"/>
        </w:rPr>
        <w:t>Step 2: Fit via Ordinary Least Squares (</w:t>
      </w:r>
      <w:proofErr w:type="spellStart"/>
      <w:r w:rsidRPr="00B6129C">
        <w:rPr>
          <w:sz w:val="28"/>
          <w:szCs w:val="28"/>
        </w:rPr>
        <w:t>statsmodels.api.OLS</w:t>
      </w:r>
      <w:proofErr w:type="spellEnd"/>
      <w:r w:rsidRPr="00B6129C">
        <w:rPr>
          <w:sz w:val="28"/>
          <w:szCs w:val="28"/>
        </w:rPr>
        <w:t>), estimating coefficients, standard errors, and overall model fit (R², F-statistic).</w:t>
      </w:r>
    </w:p>
    <w:p w:rsidR="004A3BA5" w:rsidRPr="00B6129C" w:rsidRDefault="003B3735">
      <w:pPr>
        <w:pStyle w:val="ListParagraph"/>
        <w:numPr>
          <w:ilvl w:val="0"/>
          <w:numId w:val="1"/>
        </w:numPr>
        <w:spacing w:after="100"/>
        <w:rPr>
          <w:sz w:val="28"/>
          <w:szCs w:val="28"/>
        </w:rPr>
      </w:pPr>
      <w:r w:rsidRPr="00B6129C">
        <w:rPr>
          <w:sz w:val="28"/>
          <w:szCs w:val="28"/>
        </w:rPr>
        <w:t>Step 3: Check residuals for patterns that would violate OLS assumptions (Figure 5) — a random scatter around zero supports the model's validity.</w:t>
      </w:r>
    </w:p>
    <w:p w:rsidR="004A3BA5" w:rsidRPr="00B6129C" w:rsidRDefault="003B3735">
      <w:pPr>
        <w:pStyle w:val="ListParagraph"/>
        <w:numPr>
          <w:ilvl w:val="0"/>
          <w:numId w:val="1"/>
        </w:numPr>
        <w:spacing w:after="100"/>
        <w:rPr>
          <w:sz w:val="28"/>
          <w:szCs w:val="28"/>
        </w:rPr>
      </w:pPr>
      <w:r w:rsidRPr="00B6129C">
        <w:rPr>
          <w:sz w:val="28"/>
          <w:szCs w:val="28"/>
        </w:rPr>
        <w:t>Step 4: Interpret each coefficient's sign, magnitude, and significance in the context of the (simulated) dependent variable's construction.</w:t>
      </w:r>
    </w:p>
    <w:p w:rsidR="004A3BA5" w:rsidRPr="00B6129C" w:rsidRDefault="003B3735">
      <w:pPr>
        <w:pStyle w:val="Heading2"/>
        <w:rPr>
          <w:sz w:val="28"/>
          <w:szCs w:val="28"/>
        </w:rPr>
      </w:pPr>
      <w:bookmarkStart w:id="10" w:name="_Toc240813154"/>
      <w:r w:rsidRPr="00B6129C">
        <w:rPr>
          <w:sz w:val="28"/>
          <w:szCs w:val="28"/>
        </w:rPr>
        <w:t>5.3 Technique 3 (Bonus) — Independent-Samples t-test</w:t>
      </w:r>
      <w:bookmarkEnd w:id="10"/>
    </w:p>
    <w:p w:rsidR="004A3BA5" w:rsidRPr="00B6129C" w:rsidRDefault="003B3735">
      <w:pPr>
        <w:spacing w:after="160" w:line="276" w:lineRule="auto"/>
        <w:rPr>
          <w:sz w:val="28"/>
          <w:szCs w:val="28"/>
        </w:rPr>
      </w:pPr>
      <w:r w:rsidRPr="00B6129C">
        <w:rPr>
          <w:sz w:val="28"/>
          <w:szCs w:val="28"/>
        </w:rPr>
        <w:t>Rationale: as a complementary, non-correlational check, states were split at the median Mobile Capture Rate into 'high' and 'low' groups, and Welch's t-test (which does not assume equal variances) was used to test whether mean Rejection Rate differs meaningfully between the two groups — directly re-testing the Week 3 finding that digital engagement does not predict rejection rate, now on the bias-filtered sample.</w:t>
      </w:r>
    </w:p>
    <w:p w:rsidR="004A3BA5" w:rsidRPr="00B6129C" w:rsidRDefault="003B3735">
      <w:pPr>
        <w:pStyle w:val="Heading1"/>
        <w:rPr>
          <w:sz w:val="32"/>
          <w:szCs w:val="32"/>
        </w:rPr>
      </w:pPr>
      <w:bookmarkStart w:id="11" w:name="_Toc240813155"/>
      <w:r w:rsidRPr="00B6129C">
        <w:rPr>
          <w:sz w:val="32"/>
          <w:szCs w:val="32"/>
        </w:rPr>
        <w:t>6. Results</w:t>
      </w:r>
      <w:bookmarkEnd w:id="11"/>
    </w:p>
    <w:p w:rsidR="004A3BA5" w:rsidRPr="00B6129C" w:rsidRDefault="003B3735">
      <w:pPr>
        <w:pStyle w:val="Heading2"/>
        <w:rPr>
          <w:sz w:val="28"/>
          <w:szCs w:val="28"/>
        </w:rPr>
      </w:pPr>
      <w:bookmarkStart w:id="12" w:name="_Toc240813156"/>
      <w:r w:rsidRPr="00B6129C">
        <w:rPr>
          <w:sz w:val="28"/>
          <w:szCs w:val="28"/>
        </w:rPr>
        <w:t>6.1 Correlation Results</w:t>
      </w:r>
      <w:bookmarkEnd w:id="12"/>
    </w:p>
    <w:p w:rsidR="004A3BA5" w:rsidRDefault="003B3735">
      <w:pPr>
        <w:spacing w:before="120" w:after="80"/>
        <w:jc w:val="center"/>
      </w:pPr>
      <w:r>
        <w:rPr>
          <w:noProof/>
        </w:rPr>
        <w:drawing>
          <wp:inline distT="0" distB="0" distL="0" distR="0">
            <wp:extent cx="6126480" cy="3550920"/>
            <wp:effectExtent l="38100" t="38100" r="45720" b="304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26480" cy="3550920"/>
                    </a:xfrm>
                    <a:prstGeom prst="rect">
                      <a:avLst/>
                    </a:prstGeom>
                    <a:ln w="28575">
                      <a:solidFill>
                        <a:schemeClr val="tx1"/>
                      </a:solidFill>
                    </a:ln>
                  </pic:spPr>
                </pic:pic>
              </a:graphicData>
            </a:graphic>
          </wp:inline>
        </w:drawing>
      </w:r>
    </w:p>
    <w:p w:rsidR="004A3BA5" w:rsidRPr="00B6129C" w:rsidRDefault="003B3735">
      <w:pPr>
        <w:spacing w:after="240"/>
        <w:jc w:val="center"/>
        <w:rPr>
          <w:i/>
          <w:iCs/>
          <w:color w:val="595959"/>
          <w:sz w:val="24"/>
          <w:szCs w:val="24"/>
        </w:rPr>
      </w:pPr>
      <w:r w:rsidRPr="00B6129C">
        <w:rPr>
          <w:i/>
          <w:iCs/>
          <w:color w:val="595959"/>
          <w:sz w:val="24"/>
          <w:szCs w:val="24"/>
        </w:rPr>
        <w:t>Figure 1: Correlation matrix across the three metrics (n=32 states).</w:t>
      </w:r>
    </w:p>
    <w:p w:rsidR="00B6129C" w:rsidRDefault="00B6129C" w:rsidP="00B6129C">
      <w:pPr>
        <w:spacing w:after="240"/>
      </w:pPr>
    </w:p>
    <w:tbl>
      <w:tblPr>
        <w:tblW w:w="9833"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93"/>
        <w:gridCol w:w="2720"/>
        <w:gridCol w:w="2720"/>
      </w:tblGrid>
      <w:tr w:rsidR="004A3BA5" w:rsidTr="00B6129C">
        <w:trPr>
          <w:cantSplit/>
          <w:trHeight w:val="304"/>
          <w:tblHeader/>
        </w:trPr>
        <w:tc>
          <w:tcPr>
            <w:tcW w:w="4393"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Pair</w:t>
            </w:r>
          </w:p>
        </w:tc>
        <w:tc>
          <w:tcPr>
            <w:tcW w:w="2720"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Pearson r</w:t>
            </w:r>
          </w:p>
        </w:tc>
        <w:tc>
          <w:tcPr>
            <w:tcW w:w="2720" w:type="dxa"/>
            <w:shd w:val="clear" w:color="auto" w:fill="1F4E79"/>
            <w:tcMar>
              <w:top w:w="80" w:type="dxa"/>
              <w:left w:w="120" w:type="dxa"/>
              <w:bottom w:w="80" w:type="dxa"/>
              <w:right w:w="120" w:type="dxa"/>
            </w:tcMar>
            <w:vAlign w:val="center"/>
          </w:tcPr>
          <w:p w:rsidR="004A3BA5" w:rsidRPr="00B6129C" w:rsidRDefault="003B3735">
            <w:pPr>
              <w:rPr>
                <w:sz w:val="24"/>
                <w:szCs w:val="24"/>
              </w:rPr>
            </w:pPr>
            <w:r w:rsidRPr="00B6129C">
              <w:rPr>
                <w:b/>
                <w:bCs/>
                <w:color w:val="FFFFFF"/>
                <w:sz w:val="24"/>
                <w:szCs w:val="24"/>
              </w:rPr>
              <w:t>p-value</w:t>
            </w:r>
          </w:p>
        </w:tc>
      </w:tr>
      <w:tr w:rsidR="004A3BA5" w:rsidTr="00B6129C">
        <w:trPr>
          <w:cantSplit/>
          <w:trHeight w:val="304"/>
        </w:trPr>
        <w:tc>
          <w:tcPr>
            <w:tcW w:w="4393"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Rejection Rate vs. Mobile Capture Rate</w:t>
            </w:r>
          </w:p>
        </w:tc>
        <w:tc>
          <w:tcPr>
            <w:tcW w:w="272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-0.020</w:t>
            </w:r>
          </w:p>
        </w:tc>
        <w:tc>
          <w:tcPr>
            <w:tcW w:w="272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0.913 (not significant)</w:t>
            </w:r>
          </w:p>
        </w:tc>
      </w:tr>
      <w:tr w:rsidR="004A3BA5" w:rsidTr="00B6129C">
        <w:trPr>
          <w:cantSplit/>
          <w:trHeight w:val="597"/>
        </w:trPr>
        <w:tc>
          <w:tcPr>
            <w:tcW w:w="4393"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Rejection Rate vs. Satisfaction Index</w:t>
            </w:r>
          </w:p>
        </w:tc>
        <w:tc>
          <w:tcPr>
            <w:tcW w:w="272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-0.445</w:t>
            </w:r>
          </w:p>
        </w:tc>
        <w:tc>
          <w:tcPr>
            <w:tcW w:w="272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0.011 (significant, α=0.05)</w:t>
            </w:r>
          </w:p>
        </w:tc>
      </w:tr>
      <w:tr w:rsidR="004A3BA5" w:rsidTr="00B6129C">
        <w:trPr>
          <w:cantSplit/>
          <w:trHeight w:val="585"/>
        </w:trPr>
        <w:tc>
          <w:tcPr>
            <w:tcW w:w="4393"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Mobile Capture Rate vs. Satisfaction Index</w:t>
            </w:r>
          </w:p>
        </w:tc>
        <w:tc>
          <w:tcPr>
            <w:tcW w:w="272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0.773</w:t>
            </w:r>
          </w:p>
        </w:tc>
        <w:tc>
          <w:tcPr>
            <w:tcW w:w="2720" w:type="dxa"/>
            <w:tcMar>
              <w:top w:w="80" w:type="dxa"/>
              <w:left w:w="120" w:type="dxa"/>
              <w:bottom w:w="80" w:type="dxa"/>
              <w:right w:w="120" w:type="dxa"/>
            </w:tcMar>
            <w:vAlign w:val="center"/>
          </w:tcPr>
          <w:p w:rsidR="004A3BA5" w:rsidRPr="00B6129C" w:rsidRDefault="003B3735">
            <w:pPr>
              <w:rPr>
                <w:sz w:val="24"/>
                <w:szCs w:val="24"/>
              </w:rPr>
            </w:pPr>
            <w:r w:rsidRPr="00B6129C">
              <w:rPr>
                <w:color w:val="000000"/>
                <w:sz w:val="24"/>
                <w:szCs w:val="24"/>
              </w:rPr>
              <w:t>&lt; 0.001 (highly significant)</w:t>
            </w:r>
          </w:p>
        </w:tc>
      </w:tr>
    </w:tbl>
    <w:p w:rsidR="004A3BA5" w:rsidRDefault="004A3BA5">
      <w:pPr>
        <w:spacing w:after="200"/>
      </w:pPr>
    </w:p>
    <w:p w:rsidR="004A3BA5" w:rsidRDefault="003B3735">
      <w:pPr>
        <w:spacing w:before="120" w:after="80"/>
        <w:jc w:val="center"/>
      </w:pPr>
      <w:r>
        <w:rPr>
          <w:noProof/>
        </w:rPr>
        <w:drawing>
          <wp:inline distT="0" distB="0" distL="0" distR="0">
            <wp:extent cx="6065520" cy="4617720"/>
            <wp:effectExtent l="38100" t="38100" r="30480" b="304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65520" cy="4617720"/>
                    </a:xfrm>
                    <a:prstGeom prst="rect">
                      <a:avLst/>
                    </a:prstGeom>
                    <a:ln w="28575">
                      <a:solidFill>
                        <a:schemeClr val="tx1"/>
                      </a:solidFill>
                    </a:ln>
                  </pic:spPr>
                </pic:pic>
              </a:graphicData>
            </a:graphic>
          </wp:inline>
        </w:drawing>
      </w:r>
    </w:p>
    <w:p w:rsidR="004A3BA5" w:rsidRPr="00B6129C" w:rsidRDefault="003B3735">
      <w:pPr>
        <w:spacing w:after="240"/>
        <w:jc w:val="center"/>
        <w:rPr>
          <w:sz w:val="24"/>
          <w:szCs w:val="24"/>
        </w:rPr>
      </w:pPr>
      <w:r w:rsidRPr="00B6129C">
        <w:rPr>
          <w:i/>
          <w:iCs/>
          <w:color w:val="595959"/>
          <w:sz w:val="24"/>
          <w:szCs w:val="24"/>
        </w:rPr>
        <w:t>Figure 2: Service Efficiency (Rejection Rate) vs. Satisfaction Index, with 95% confidence band.</w:t>
      </w:r>
    </w:p>
    <w:p w:rsidR="004A3BA5" w:rsidRDefault="003B3735">
      <w:pPr>
        <w:spacing w:before="120" w:after="80"/>
        <w:jc w:val="center"/>
      </w:pPr>
      <w:r>
        <w:rPr>
          <w:noProof/>
        </w:rPr>
        <w:lastRenderedPageBreak/>
        <w:drawing>
          <wp:inline distT="0" distB="0" distL="0" distR="0">
            <wp:extent cx="6103620" cy="3695700"/>
            <wp:effectExtent l="38100" t="38100" r="30480" b="381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03620" cy="3695700"/>
                    </a:xfrm>
                    <a:prstGeom prst="rect">
                      <a:avLst/>
                    </a:prstGeom>
                    <a:ln w="28575">
                      <a:solidFill>
                        <a:schemeClr val="tx1"/>
                      </a:solidFill>
                    </a:ln>
                  </pic:spPr>
                </pic:pic>
              </a:graphicData>
            </a:graphic>
          </wp:inline>
        </w:drawing>
      </w:r>
    </w:p>
    <w:p w:rsidR="004A3BA5" w:rsidRPr="00B6129C" w:rsidRDefault="003B3735">
      <w:pPr>
        <w:spacing w:after="240"/>
        <w:jc w:val="center"/>
        <w:rPr>
          <w:sz w:val="24"/>
          <w:szCs w:val="24"/>
        </w:rPr>
      </w:pPr>
      <w:r w:rsidRPr="00B6129C">
        <w:rPr>
          <w:i/>
          <w:iCs/>
          <w:color w:val="595959"/>
          <w:sz w:val="24"/>
          <w:szCs w:val="24"/>
        </w:rPr>
        <w:t>Figure 3: Access Equity (Mobile Capture Rate) vs. Satisfaction Index, with 95% confidence band.</w:t>
      </w:r>
    </w:p>
    <w:p w:rsidR="004A3BA5" w:rsidRPr="00B6129C" w:rsidRDefault="003B3735">
      <w:pPr>
        <w:pStyle w:val="Heading2"/>
        <w:rPr>
          <w:sz w:val="28"/>
          <w:szCs w:val="28"/>
        </w:rPr>
      </w:pPr>
      <w:bookmarkStart w:id="13" w:name="_Toc240813157"/>
      <w:r w:rsidRPr="00B6129C">
        <w:rPr>
          <w:sz w:val="28"/>
          <w:szCs w:val="28"/>
        </w:rPr>
        <w:t>6.2 Regression Results</w:t>
      </w:r>
      <w:bookmarkEnd w:id="13"/>
    </w:p>
    <w:p w:rsidR="004A3BA5" w:rsidRDefault="003B3735">
      <w:pPr>
        <w:spacing w:before="120" w:after="80"/>
        <w:jc w:val="center"/>
      </w:pPr>
      <w:r>
        <w:rPr>
          <w:noProof/>
        </w:rPr>
        <w:drawing>
          <wp:inline distT="0" distB="0" distL="0" distR="0">
            <wp:extent cx="6400800" cy="3619500"/>
            <wp:effectExtent l="38100" t="38100" r="38100" b="381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00800" cy="3619500"/>
                    </a:xfrm>
                    <a:prstGeom prst="rect">
                      <a:avLst/>
                    </a:prstGeom>
                    <a:ln w="28575">
                      <a:solidFill>
                        <a:schemeClr val="tx1"/>
                      </a:solidFill>
                    </a:ln>
                  </pic:spPr>
                </pic:pic>
              </a:graphicData>
            </a:graphic>
          </wp:inline>
        </w:drawing>
      </w:r>
    </w:p>
    <w:p w:rsidR="004A3BA5" w:rsidRPr="00B6129C" w:rsidRDefault="003B3735">
      <w:pPr>
        <w:spacing w:after="240"/>
        <w:jc w:val="center"/>
        <w:rPr>
          <w:sz w:val="24"/>
          <w:szCs w:val="24"/>
        </w:rPr>
      </w:pPr>
      <w:r w:rsidRPr="00B6129C">
        <w:rPr>
          <w:i/>
          <w:iCs/>
          <w:color w:val="595959"/>
          <w:sz w:val="24"/>
          <w:szCs w:val="24"/>
        </w:rPr>
        <w:t>Figure 4: OLS regression coefficients (± standard error) and overall model fit.</w:t>
      </w:r>
    </w:p>
    <w:tbl>
      <w:tblPr>
        <w:tblW w:w="10383"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14"/>
        <w:gridCol w:w="2430"/>
        <w:gridCol w:w="2430"/>
        <w:gridCol w:w="2209"/>
      </w:tblGrid>
      <w:tr w:rsidR="004A3BA5" w:rsidTr="009F19D4">
        <w:trPr>
          <w:cantSplit/>
          <w:trHeight w:val="265"/>
          <w:tblHeader/>
        </w:trPr>
        <w:tc>
          <w:tcPr>
            <w:tcW w:w="3314" w:type="dxa"/>
            <w:shd w:val="clear" w:color="auto" w:fill="1F4E79"/>
            <w:tcMar>
              <w:top w:w="80" w:type="dxa"/>
              <w:left w:w="120" w:type="dxa"/>
              <w:bottom w:w="80" w:type="dxa"/>
              <w:right w:w="120" w:type="dxa"/>
            </w:tcMar>
            <w:vAlign w:val="center"/>
          </w:tcPr>
          <w:p w:rsidR="004A3BA5" w:rsidRDefault="003B3735">
            <w:r>
              <w:rPr>
                <w:b/>
                <w:bCs/>
                <w:color w:val="FFFFFF"/>
                <w:sz w:val="20"/>
                <w:szCs w:val="20"/>
              </w:rPr>
              <w:lastRenderedPageBreak/>
              <w:t>Predictor</w:t>
            </w:r>
          </w:p>
        </w:tc>
        <w:tc>
          <w:tcPr>
            <w:tcW w:w="2430" w:type="dxa"/>
            <w:shd w:val="clear" w:color="auto" w:fill="1F4E79"/>
            <w:tcMar>
              <w:top w:w="80" w:type="dxa"/>
              <w:left w:w="120" w:type="dxa"/>
              <w:bottom w:w="80" w:type="dxa"/>
              <w:right w:w="120" w:type="dxa"/>
            </w:tcMar>
            <w:vAlign w:val="center"/>
          </w:tcPr>
          <w:p w:rsidR="004A3BA5" w:rsidRDefault="003B3735">
            <w:r>
              <w:rPr>
                <w:b/>
                <w:bCs/>
                <w:color w:val="FFFFFF"/>
                <w:sz w:val="20"/>
                <w:szCs w:val="20"/>
              </w:rPr>
              <w:t>Coefficient</w:t>
            </w:r>
          </w:p>
        </w:tc>
        <w:tc>
          <w:tcPr>
            <w:tcW w:w="2430" w:type="dxa"/>
            <w:shd w:val="clear" w:color="auto" w:fill="1F4E79"/>
            <w:tcMar>
              <w:top w:w="80" w:type="dxa"/>
              <w:left w:w="120" w:type="dxa"/>
              <w:bottom w:w="80" w:type="dxa"/>
              <w:right w:w="120" w:type="dxa"/>
            </w:tcMar>
            <w:vAlign w:val="center"/>
          </w:tcPr>
          <w:p w:rsidR="004A3BA5" w:rsidRDefault="003B3735">
            <w:r>
              <w:rPr>
                <w:b/>
                <w:bCs/>
                <w:color w:val="FFFFFF"/>
                <w:sz w:val="20"/>
                <w:szCs w:val="20"/>
              </w:rPr>
              <w:t>Std. Error</w:t>
            </w:r>
          </w:p>
        </w:tc>
        <w:tc>
          <w:tcPr>
            <w:tcW w:w="2209" w:type="dxa"/>
            <w:shd w:val="clear" w:color="auto" w:fill="1F4E79"/>
            <w:tcMar>
              <w:top w:w="80" w:type="dxa"/>
              <w:left w:w="120" w:type="dxa"/>
              <w:bottom w:w="80" w:type="dxa"/>
              <w:right w:w="120" w:type="dxa"/>
            </w:tcMar>
            <w:vAlign w:val="center"/>
          </w:tcPr>
          <w:p w:rsidR="004A3BA5" w:rsidRDefault="003B3735">
            <w:r>
              <w:rPr>
                <w:b/>
                <w:bCs/>
                <w:color w:val="FFFFFF"/>
                <w:sz w:val="20"/>
                <w:szCs w:val="20"/>
              </w:rPr>
              <w:t>p-value</w:t>
            </w:r>
          </w:p>
        </w:tc>
      </w:tr>
      <w:tr w:rsidR="004A3BA5" w:rsidTr="009F19D4">
        <w:trPr>
          <w:cantSplit/>
          <w:trHeight w:val="252"/>
        </w:trPr>
        <w:tc>
          <w:tcPr>
            <w:tcW w:w="3314" w:type="dxa"/>
            <w:tcMar>
              <w:top w:w="80" w:type="dxa"/>
              <w:left w:w="120" w:type="dxa"/>
              <w:bottom w:w="80" w:type="dxa"/>
              <w:right w:w="120" w:type="dxa"/>
            </w:tcMar>
            <w:vAlign w:val="center"/>
          </w:tcPr>
          <w:p w:rsidR="004A3BA5" w:rsidRDefault="003B3735">
            <w:r>
              <w:rPr>
                <w:color w:val="000000"/>
                <w:sz w:val="20"/>
                <w:szCs w:val="20"/>
              </w:rPr>
              <w:t>Intercept</w:t>
            </w:r>
          </w:p>
        </w:tc>
        <w:tc>
          <w:tcPr>
            <w:tcW w:w="2430" w:type="dxa"/>
            <w:tcMar>
              <w:top w:w="80" w:type="dxa"/>
              <w:left w:w="120" w:type="dxa"/>
              <w:bottom w:w="80" w:type="dxa"/>
              <w:right w:w="120" w:type="dxa"/>
            </w:tcMar>
            <w:vAlign w:val="center"/>
          </w:tcPr>
          <w:p w:rsidR="004A3BA5" w:rsidRDefault="003B3735">
            <w:r>
              <w:rPr>
                <w:color w:val="000000"/>
                <w:sz w:val="20"/>
                <w:szCs w:val="20"/>
              </w:rPr>
              <w:t>67.28</w:t>
            </w:r>
          </w:p>
        </w:tc>
        <w:tc>
          <w:tcPr>
            <w:tcW w:w="2430" w:type="dxa"/>
            <w:tcMar>
              <w:top w:w="80" w:type="dxa"/>
              <w:left w:w="120" w:type="dxa"/>
              <w:bottom w:w="80" w:type="dxa"/>
              <w:right w:w="120" w:type="dxa"/>
            </w:tcMar>
            <w:vAlign w:val="center"/>
          </w:tcPr>
          <w:p w:rsidR="004A3BA5" w:rsidRDefault="003B3735">
            <w:r>
              <w:rPr>
                <w:color w:val="000000"/>
                <w:sz w:val="20"/>
                <w:szCs w:val="20"/>
              </w:rPr>
              <w:t>2.46</w:t>
            </w:r>
          </w:p>
        </w:tc>
        <w:tc>
          <w:tcPr>
            <w:tcW w:w="2209" w:type="dxa"/>
            <w:tcMar>
              <w:top w:w="80" w:type="dxa"/>
              <w:left w:w="120" w:type="dxa"/>
              <w:bottom w:w="80" w:type="dxa"/>
              <w:right w:w="120" w:type="dxa"/>
            </w:tcMar>
            <w:vAlign w:val="center"/>
          </w:tcPr>
          <w:p w:rsidR="004A3BA5" w:rsidRDefault="003B3735">
            <w:r>
              <w:rPr>
                <w:color w:val="000000"/>
                <w:sz w:val="20"/>
                <w:szCs w:val="20"/>
              </w:rPr>
              <w:t>&lt; 0.001</w:t>
            </w:r>
          </w:p>
        </w:tc>
      </w:tr>
      <w:tr w:rsidR="004A3BA5" w:rsidTr="009F19D4">
        <w:trPr>
          <w:cantSplit/>
          <w:trHeight w:val="265"/>
        </w:trPr>
        <w:tc>
          <w:tcPr>
            <w:tcW w:w="3314" w:type="dxa"/>
            <w:tcMar>
              <w:top w:w="80" w:type="dxa"/>
              <w:left w:w="120" w:type="dxa"/>
              <w:bottom w:w="80" w:type="dxa"/>
              <w:right w:w="120" w:type="dxa"/>
            </w:tcMar>
            <w:vAlign w:val="center"/>
          </w:tcPr>
          <w:p w:rsidR="004A3BA5" w:rsidRDefault="003B3735">
            <w:r>
              <w:rPr>
                <w:color w:val="000000"/>
                <w:sz w:val="20"/>
                <w:szCs w:val="20"/>
              </w:rPr>
              <w:t>Rejection Rate</w:t>
            </w:r>
          </w:p>
        </w:tc>
        <w:tc>
          <w:tcPr>
            <w:tcW w:w="2430" w:type="dxa"/>
            <w:tcMar>
              <w:top w:w="80" w:type="dxa"/>
              <w:left w:w="120" w:type="dxa"/>
              <w:bottom w:w="80" w:type="dxa"/>
              <w:right w:w="120" w:type="dxa"/>
            </w:tcMar>
            <w:vAlign w:val="center"/>
          </w:tcPr>
          <w:p w:rsidR="004A3BA5" w:rsidRDefault="003B3735">
            <w:r>
              <w:rPr>
                <w:color w:val="000000"/>
                <w:sz w:val="20"/>
                <w:szCs w:val="20"/>
              </w:rPr>
              <w:t>-79.05</w:t>
            </w:r>
          </w:p>
        </w:tc>
        <w:tc>
          <w:tcPr>
            <w:tcW w:w="2430" w:type="dxa"/>
            <w:tcMar>
              <w:top w:w="80" w:type="dxa"/>
              <w:left w:w="120" w:type="dxa"/>
              <w:bottom w:w="80" w:type="dxa"/>
              <w:right w:w="120" w:type="dxa"/>
            </w:tcMar>
            <w:vAlign w:val="center"/>
          </w:tcPr>
          <w:p w:rsidR="004A3BA5" w:rsidRDefault="003B3735">
            <w:r>
              <w:rPr>
                <w:color w:val="000000"/>
                <w:sz w:val="20"/>
                <w:szCs w:val="20"/>
              </w:rPr>
              <w:t>15.97</w:t>
            </w:r>
          </w:p>
        </w:tc>
        <w:tc>
          <w:tcPr>
            <w:tcW w:w="2209" w:type="dxa"/>
            <w:tcMar>
              <w:top w:w="80" w:type="dxa"/>
              <w:left w:w="120" w:type="dxa"/>
              <w:bottom w:w="80" w:type="dxa"/>
              <w:right w:w="120" w:type="dxa"/>
            </w:tcMar>
            <w:vAlign w:val="center"/>
          </w:tcPr>
          <w:p w:rsidR="004A3BA5" w:rsidRDefault="003B3735">
            <w:r>
              <w:rPr>
                <w:color w:val="000000"/>
                <w:sz w:val="20"/>
                <w:szCs w:val="20"/>
              </w:rPr>
              <w:t>&lt; 0.001</w:t>
            </w:r>
          </w:p>
        </w:tc>
      </w:tr>
      <w:tr w:rsidR="004A3BA5" w:rsidTr="009F19D4">
        <w:trPr>
          <w:cantSplit/>
          <w:trHeight w:val="252"/>
        </w:trPr>
        <w:tc>
          <w:tcPr>
            <w:tcW w:w="3314" w:type="dxa"/>
            <w:tcMar>
              <w:top w:w="80" w:type="dxa"/>
              <w:left w:w="120" w:type="dxa"/>
              <w:bottom w:w="80" w:type="dxa"/>
              <w:right w:w="120" w:type="dxa"/>
            </w:tcMar>
            <w:vAlign w:val="center"/>
          </w:tcPr>
          <w:p w:rsidR="004A3BA5" w:rsidRDefault="003B3735">
            <w:r>
              <w:rPr>
                <w:color w:val="000000"/>
                <w:sz w:val="20"/>
                <w:szCs w:val="20"/>
              </w:rPr>
              <w:t>Mobile Capture Rate</w:t>
            </w:r>
          </w:p>
        </w:tc>
        <w:tc>
          <w:tcPr>
            <w:tcW w:w="2430" w:type="dxa"/>
            <w:tcMar>
              <w:top w:w="80" w:type="dxa"/>
              <w:left w:w="120" w:type="dxa"/>
              <w:bottom w:w="80" w:type="dxa"/>
              <w:right w:w="120" w:type="dxa"/>
            </w:tcMar>
            <w:vAlign w:val="center"/>
          </w:tcPr>
          <w:p w:rsidR="004A3BA5" w:rsidRDefault="003B3735">
            <w:r>
              <w:rPr>
                <w:color w:val="000000"/>
                <w:sz w:val="20"/>
                <w:szCs w:val="20"/>
              </w:rPr>
              <w:t>24.74</w:t>
            </w:r>
          </w:p>
        </w:tc>
        <w:tc>
          <w:tcPr>
            <w:tcW w:w="2430" w:type="dxa"/>
            <w:tcMar>
              <w:top w:w="80" w:type="dxa"/>
              <w:left w:w="120" w:type="dxa"/>
              <w:bottom w:w="80" w:type="dxa"/>
              <w:right w:w="120" w:type="dxa"/>
            </w:tcMar>
            <w:vAlign w:val="center"/>
          </w:tcPr>
          <w:p w:rsidR="004A3BA5" w:rsidRDefault="003B3735">
            <w:r>
              <w:rPr>
                <w:color w:val="000000"/>
                <w:sz w:val="20"/>
                <w:szCs w:val="20"/>
              </w:rPr>
              <w:t>2.81</w:t>
            </w:r>
          </w:p>
        </w:tc>
        <w:tc>
          <w:tcPr>
            <w:tcW w:w="2209" w:type="dxa"/>
            <w:tcMar>
              <w:top w:w="80" w:type="dxa"/>
              <w:left w:w="120" w:type="dxa"/>
              <w:bottom w:w="80" w:type="dxa"/>
              <w:right w:w="120" w:type="dxa"/>
            </w:tcMar>
            <w:vAlign w:val="center"/>
          </w:tcPr>
          <w:p w:rsidR="004A3BA5" w:rsidRDefault="003B3735">
            <w:r>
              <w:rPr>
                <w:color w:val="000000"/>
                <w:sz w:val="20"/>
                <w:szCs w:val="20"/>
              </w:rPr>
              <w:t>&lt; 0.001</w:t>
            </w:r>
          </w:p>
        </w:tc>
      </w:tr>
    </w:tbl>
    <w:p w:rsidR="004A3BA5" w:rsidRDefault="004A3BA5">
      <w:pPr>
        <w:spacing w:after="200"/>
      </w:pPr>
    </w:p>
    <w:p w:rsidR="004A3BA5" w:rsidRPr="009F19D4" w:rsidRDefault="003B3735">
      <w:pPr>
        <w:spacing w:after="160" w:line="276" w:lineRule="auto"/>
        <w:rPr>
          <w:sz w:val="28"/>
          <w:szCs w:val="28"/>
        </w:rPr>
      </w:pPr>
      <w:r w:rsidRPr="009F19D4">
        <w:rPr>
          <w:sz w:val="28"/>
          <w:szCs w:val="28"/>
        </w:rPr>
        <w:t xml:space="preserve">Model: R² = 0.782, Adjusted R² = 0.767, </w:t>
      </w:r>
      <w:proofErr w:type="gramStart"/>
      <w:r w:rsidRPr="009F19D4">
        <w:rPr>
          <w:sz w:val="28"/>
          <w:szCs w:val="28"/>
        </w:rPr>
        <w:t>F(</w:t>
      </w:r>
      <w:proofErr w:type="gramEnd"/>
      <w:r w:rsidRPr="009F19D4">
        <w:rPr>
          <w:sz w:val="28"/>
          <w:szCs w:val="28"/>
        </w:rPr>
        <w:t>2,29) = 52.0, p &lt; 0.001. Both predictors are individually significant at p&lt;0.001.</w:t>
      </w:r>
    </w:p>
    <w:p w:rsidR="004A3BA5" w:rsidRDefault="003B3735">
      <w:pPr>
        <w:spacing w:before="120" w:after="80"/>
        <w:jc w:val="center"/>
      </w:pPr>
      <w:r>
        <w:rPr>
          <w:noProof/>
        </w:rPr>
        <w:drawing>
          <wp:inline distT="0" distB="0" distL="0" distR="0">
            <wp:extent cx="6553200" cy="2979420"/>
            <wp:effectExtent l="19050" t="19050" r="1905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57390" cy="2981325"/>
                    </a:xfrm>
                    <a:prstGeom prst="rect">
                      <a:avLst/>
                    </a:prstGeom>
                    <a:ln w="19050">
                      <a:solidFill>
                        <a:schemeClr val="tx1"/>
                      </a:solidFill>
                    </a:ln>
                  </pic:spPr>
                </pic:pic>
              </a:graphicData>
            </a:graphic>
          </wp:inline>
        </w:drawing>
      </w:r>
    </w:p>
    <w:p w:rsidR="004A3BA5" w:rsidRPr="009F19D4" w:rsidRDefault="003B3735">
      <w:pPr>
        <w:spacing w:after="240"/>
        <w:jc w:val="center"/>
        <w:rPr>
          <w:sz w:val="20"/>
          <w:szCs w:val="20"/>
        </w:rPr>
      </w:pPr>
      <w:r w:rsidRPr="009F19D4">
        <w:rPr>
          <w:i/>
          <w:iCs/>
          <w:color w:val="595959"/>
          <w:sz w:val="20"/>
          <w:szCs w:val="20"/>
        </w:rPr>
        <w:t>Figure 5: Residuals show no strong pattern against fitted values, supporting the linear model's adequacy for this data.</w:t>
      </w:r>
    </w:p>
    <w:p w:rsidR="004A3BA5" w:rsidRDefault="003B3735">
      <w:pPr>
        <w:pStyle w:val="Heading2"/>
      </w:pPr>
      <w:bookmarkStart w:id="14" w:name="_Toc240813158"/>
      <w:r>
        <w:t>6.3 T-Test Results</w:t>
      </w:r>
      <w:bookmarkEnd w:id="14"/>
    </w:p>
    <w:p w:rsidR="004A3BA5" w:rsidRDefault="003B3735">
      <w:pPr>
        <w:spacing w:before="120" w:after="80"/>
        <w:jc w:val="center"/>
      </w:pPr>
      <w:r>
        <w:rPr>
          <w:noProof/>
        </w:rPr>
        <w:drawing>
          <wp:inline distT="0" distB="0" distL="0" distR="0">
            <wp:extent cx="6286500" cy="2712720"/>
            <wp:effectExtent l="19050" t="19050" r="19050"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94120" cy="2716008"/>
                    </a:xfrm>
                    <a:prstGeom prst="rect">
                      <a:avLst/>
                    </a:prstGeom>
                    <a:ln w="19050">
                      <a:solidFill>
                        <a:schemeClr val="tx1"/>
                      </a:solidFill>
                    </a:ln>
                  </pic:spPr>
                </pic:pic>
              </a:graphicData>
            </a:graphic>
          </wp:inline>
        </w:drawing>
      </w:r>
    </w:p>
    <w:p w:rsidR="004A3BA5" w:rsidRPr="009F19D4" w:rsidRDefault="003B3735">
      <w:pPr>
        <w:spacing w:after="240"/>
        <w:jc w:val="center"/>
        <w:rPr>
          <w:sz w:val="24"/>
          <w:szCs w:val="24"/>
        </w:rPr>
      </w:pPr>
      <w:r w:rsidRPr="009F19D4">
        <w:rPr>
          <w:i/>
          <w:iCs/>
          <w:color w:val="595959"/>
          <w:sz w:val="24"/>
          <w:szCs w:val="24"/>
        </w:rPr>
        <w:t>Figure 6: Rejection rate distribution for high vs. low mobile-capture states (split at the median).</w:t>
      </w:r>
    </w:p>
    <w:p w:rsidR="004A3BA5" w:rsidRPr="009F19D4" w:rsidRDefault="003B3735">
      <w:pPr>
        <w:pStyle w:val="ListParagraph"/>
        <w:numPr>
          <w:ilvl w:val="0"/>
          <w:numId w:val="1"/>
        </w:numPr>
        <w:spacing w:after="100"/>
        <w:rPr>
          <w:sz w:val="28"/>
          <w:szCs w:val="28"/>
        </w:rPr>
      </w:pPr>
      <w:r w:rsidRPr="009F19D4">
        <w:rPr>
          <w:sz w:val="28"/>
          <w:szCs w:val="28"/>
        </w:rPr>
        <w:lastRenderedPageBreak/>
        <w:t>High mobile-capture states (n=16): mean rejection rate = 6.09%</w:t>
      </w:r>
    </w:p>
    <w:p w:rsidR="004A3BA5" w:rsidRPr="009F19D4" w:rsidRDefault="003B3735">
      <w:pPr>
        <w:pStyle w:val="ListParagraph"/>
        <w:numPr>
          <w:ilvl w:val="0"/>
          <w:numId w:val="1"/>
        </w:numPr>
        <w:spacing w:after="100"/>
        <w:rPr>
          <w:sz w:val="28"/>
          <w:szCs w:val="28"/>
        </w:rPr>
      </w:pPr>
      <w:r w:rsidRPr="009F19D4">
        <w:rPr>
          <w:sz w:val="28"/>
          <w:szCs w:val="28"/>
        </w:rPr>
        <w:t>Low mobile-capture states (n=16): mean rejection rate = 5.50%</w:t>
      </w:r>
    </w:p>
    <w:p w:rsidR="004A3BA5" w:rsidRPr="009F19D4" w:rsidRDefault="003B3735">
      <w:pPr>
        <w:pStyle w:val="ListParagraph"/>
        <w:numPr>
          <w:ilvl w:val="0"/>
          <w:numId w:val="1"/>
        </w:numPr>
        <w:spacing w:after="100"/>
        <w:rPr>
          <w:sz w:val="28"/>
          <w:szCs w:val="28"/>
        </w:rPr>
      </w:pPr>
      <w:r w:rsidRPr="009F19D4">
        <w:rPr>
          <w:sz w:val="28"/>
          <w:szCs w:val="28"/>
        </w:rPr>
        <w:t>Welch's t-test: t = 0.562, p = 0.580 — not statistically significant</w:t>
      </w:r>
    </w:p>
    <w:p w:rsidR="004A3BA5" w:rsidRPr="009F19D4" w:rsidRDefault="003B3735">
      <w:pPr>
        <w:pStyle w:val="Heading1"/>
        <w:rPr>
          <w:sz w:val="32"/>
          <w:szCs w:val="32"/>
        </w:rPr>
      </w:pPr>
      <w:bookmarkStart w:id="15" w:name="_Toc240813159"/>
      <w:r w:rsidRPr="009F19D4">
        <w:rPr>
          <w:sz w:val="32"/>
          <w:szCs w:val="32"/>
        </w:rPr>
        <w:t>7. Result Interpretation and Policy Discussion</w:t>
      </w:r>
      <w:bookmarkEnd w:id="15"/>
    </w:p>
    <w:p w:rsidR="004A3BA5" w:rsidRPr="009F19D4" w:rsidRDefault="003B3735">
      <w:pPr>
        <w:pStyle w:val="ListParagraph"/>
        <w:numPr>
          <w:ilvl w:val="0"/>
          <w:numId w:val="1"/>
        </w:numPr>
        <w:spacing w:after="100"/>
        <w:rPr>
          <w:sz w:val="28"/>
          <w:szCs w:val="28"/>
        </w:rPr>
      </w:pPr>
      <w:r w:rsidRPr="009F19D4">
        <w:rPr>
          <w:sz w:val="28"/>
          <w:szCs w:val="28"/>
        </w:rPr>
        <w:t>Access Equity is the strongest lever in this model: Mobile Capture Rate alone correlates with Satisfaction at r=0.773 and contributes a regression coefficient of +24.7 — meaning states with better digital-access infrastructure show a materially higher simulated satisfaction level. For policy, this reinforces continued investment in mobile/connectivity infrastructure as a foundation for citizen-facing digital services, independent of any single platform's internal improvements.</w:t>
      </w:r>
    </w:p>
    <w:p w:rsidR="004A3BA5" w:rsidRPr="009F19D4" w:rsidRDefault="003B3735">
      <w:pPr>
        <w:pStyle w:val="ListParagraph"/>
        <w:numPr>
          <w:ilvl w:val="0"/>
          <w:numId w:val="1"/>
        </w:numPr>
        <w:spacing w:after="100"/>
        <w:rPr>
          <w:sz w:val="28"/>
          <w:szCs w:val="28"/>
        </w:rPr>
      </w:pPr>
      <w:r w:rsidRPr="009F19D4">
        <w:rPr>
          <w:sz w:val="28"/>
          <w:szCs w:val="28"/>
        </w:rPr>
        <w:t>Service Efficiency matters, but less than Access Equity in this model: the Rejection Rate coefficient (-79.1) is larger in raw magnitude but operates over a much smaller range of real-world values (0.7%-14.2%) than Mobile Capture Rate (43.7%-98.5%), meaning realistic policy-relevant improvements in rejection rate move satisfaction less than proportionally larger, achievable gains in mobile access.</w:t>
      </w:r>
    </w:p>
    <w:p w:rsidR="004A3BA5" w:rsidRPr="009F19D4" w:rsidRDefault="003B3735">
      <w:pPr>
        <w:pStyle w:val="ListParagraph"/>
        <w:numPr>
          <w:ilvl w:val="0"/>
          <w:numId w:val="1"/>
        </w:numPr>
        <w:spacing w:after="100"/>
        <w:rPr>
          <w:sz w:val="28"/>
          <w:szCs w:val="28"/>
        </w:rPr>
      </w:pPr>
      <w:r w:rsidRPr="009F19D4">
        <w:rPr>
          <w:sz w:val="28"/>
          <w:szCs w:val="28"/>
        </w:rPr>
        <w:t xml:space="preserve">Access and Efficiency are independent problems: since Rejection Rate and Mobile Capture Rate are uncorrelated (r=-0.02, confirmed by both Week 3's broader sample and this task's stricter one), policy interventions to reduce </w:t>
      </w:r>
      <w:proofErr w:type="spellStart"/>
      <w:r w:rsidRPr="009F19D4">
        <w:rPr>
          <w:sz w:val="28"/>
          <w:szCs w:val="28"/>
        </w:rPr>
        <w:t>enrollment</w:t>
      </w:r>
      <w:proofErr w:type="spellEnd"/>
      <w:r w:rsidRPr="009F19D4">
        <w:rPr>
          <w:sz w:val="28"/>
          <w:szCs w:val="28"/>
        </w:rPr>
        <w:t xml:space="preserve"> friction and interventions to expand digital access can be pursued as two separate </w:t>
      </w:r>
      <w:proofErr w:type="spellStart"/>
      <w:r w:rsidRPr="009F19D4">
        <w:rPr>
          <w:sz w:val="28"/>
          <w:szCs w:val="28"/>
        </w:rPr>
        <w:t>workstreams</w:t>
      </w:r>
      <w:proofErr w:type="spellEnd"/>
      <w:r w:rsidRPr="009F19D4">
        <w:rPr>
          <w:sz w:val="28"/>
          <w:szCs w:val="28"/>
        </w:rPr>
        <w:t xml:space="preserve"> — improving one is not a substitute for the other, and neither should be assumed to fix the other as a side effect.</w:t>
      </w:r>
    </w:p>
    <w:p w:rsidR="004A3BA5" w:rsidRPr="009F19D4" w:rsidRDefault="003B3735">
      <w:pPr>
        <w:pStyle w:val="ListParagraph"/>
        <w:numPr>
          <w:ilvl w:val="0"/>
          <w:numId w:val="1"/>
        </w:numPr>
        <w:spacing w:after="100"/>
        <w:rPr>
          <w:sz w:val="28"/>
          <w:szCs w:val="28"/>
        </w:rPr>
      </w:pPr>
      <w:r w:rsidRPr="009F19D4">
        <w:rPr>
          <w:sz w:val="28"/>
          <w:szCs w:val="28"/>
        </w:rPr>
        <w:t>This report's numeric Satisfaction values should not be cited as real citizen sentiment — they demonstrate that IF satisfaction responds to efficiency and equity in the assumed direction, the statistical techniques correctly detect and quantify that relationship. The actionable next step for a real deployment would be to replace the simulated Satisfaction Index with an actual citizen survey (e.g., a CPGRAMS-style feedback mechanism) and re-run the identical pipeline.</w:t>
      </w:r>
    </w:p>
    <w:p w:rsidR="004A3BA5" w:rsidRPr="009F19D4" w:rsidRDefault="003B3735">
      <w:pPr>
        <w:pStyle w:val="Heading1"/>
        <w:rPr>
          <w:sz w:val="32"/>
          <w:szCs w:val="32"/>
        </w:rPr>
      </w:pPr>
      <w:bookmarkStart w:id="16" w:name="_Toc240813160"/>
      <w:r w:rsidRPr="009F19D4">
        <w:rPr>
          <w:sz w:val="32"/>
          <w:szCs w:val="32"/>
        </w:rPr>
        <w:t xml:space="preserve">8. Methodological Note </w:t>
      </w:r>
      <w:bookmarkEnd w:id="16"/>
    </w:p>
    <w:p w:rsidR="004A3BA5" w:rsidRPr="009F19D4" w:rsidRDefault="003B3735">
      <w:pPr>
        <w:spacing w:after="160" w:line="276" w:lineRule="auto"/>
        <w:rPr>
          <w:sz w:val="28"/>
          <w:szCs w:val="28"/>
        </w:rPr>
      </w:pPr>
      <w:r w:rsidRPr="009F19D4">
        <w:rPr>
          <w:sz w:val="28"/>
          <w:szCs w:val="28"/>
        </w:rPr>
        <w:t xml:space="preserve">Week 3 reported a Mobile Capture Rate vs. Rejection Rate correlation of r=0.27 (p=0.11, not significant) across all 37 states/UTs, with small-sample states (e.g. Lakshadweep, n=5) flagged but retained. This report excludes those small-sample states outright (n&lt;100 threshold) before computing the same correlation, yielding r=-0.02 (p=0.91) — a materially different point estimate, though both are statistically non-significant and </w:t>
      </w:r>
      <w:r w:rsidRPr="009F19D4">
        <w:rPr>
          <w:sz w:val="28"/>
          <w:szCs w:val="28"/>
        </w:rPr>
        <w:lastRenderedPageBreak/>
        <w:t>support the same substantive conclusion (no real relationship). This difference is reported explicitly, rather than silently using whichever number was more convenient, because it demonstrates how a bias-aware cleaning choice can shift a correlation's exact value even when the qualitative conclusion is unchanged.</w:t>
      </w:r>
    </w:p>
    <w:p w:rsidR="004A3BA5" w:rsidRPr="009F19D4" w:rsidRDefault="003B3735">
      <w:pPr>
        <w:pStyle w:val="Heading1"/>
        <w:rPr>
          <w:sz w:val="32"/>
          <w:szCs w:val="32"/>
        </w:rPr>
      </w:pPr>
      <w:bookmarkStart w:id="17" w:name="_Toc240813161"/>
      <w:r w:rsidRPr="009F19D4">
        <w:rPr>
          <w:sz w:val="32"/>
          <w:szCs w:val="32"/>
        </w:rPr>
        <w:t>9. Limitations and Biases</w:t>
      </w:r>
      <w:bookmarkEnd w:id="17"/>
    </w:p>
    <w:tbl>
      <w:tblPr>
        <w:tblW w:w="10001"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26"/>
        <w:gridCol w:w="3696"/>
        <w:gridCol w:w="3479"/>
      </w:tblGrid>
      <w:tr w:rsidR="004A3BA5" w:rsidTr="009F19D4">
        <w:trPr>
          <w:cantSplit/>
          <w:trHeight w:val="288"/>
          <w:tblHeader/>
        </w:trPr>
        <w:tc>
          <w:tcPr>
            <w:tcW w:w="2826" w:type="dxa"/>
            <w:shd w:val="clear" w:color="auto" w:fill="1F4E79"/>
            <w:tcMar>
              <w:top w:w="80" w:type="dxa"/>
              <w:left w:w="120" w:type="dxa"/>
              <w:bottom w:w="80" w:type="dxa"/>
              <w:right w:w="120" w:type="dxa"/>
            </w:tcMar>
            <w:vAlign w:val="center"/>
          </w:tcPr>
          <w:p w:rsidR="004A3BA5" w:rsidRPr="009F19D4" w:rsidRDefault="003B3735">
            <w:pPr>
              <w:rPr>
                <w:sz w:val="24"/>
                <w:szCs w:val="24"/>
              </w:rPr>
            </w:pPr>
            <w:r w:rsidRPr="009F19D4">
              <w:rPr>
                <w:b/>
                <w:bCs/>
                <w:color w:val="FFFFFF"/>
                <w:sz w:val="24"/>
                <w:szCs w:val="24"/>
              </w:rPr>
              <w:t>Limitation</w:t>
            </w:r>
          </w:p>
        </w:tc>
        <w:tc>
          <w:tcPr>
            <w:tcW w:w="3696" w:type="dxa"/>
            <w:shd w:val="clear" w:color="auto" w:fill="1F4E79"/>
            <w:tcMar>
              <w:top w:w="80" w:type="dxa"/>
              <w:left w:w="120" w:type="dxa"/>
              <w:bottom w:w="80" w:type="dxa"/>
              <w:right w:w="120" w:type="dxa"/>
            </w:tcMar>
            <w:vAlign w:val="center"/>
          </w:tcPr>
          <w:p w:rsidR="004A3BA5" w:rsidRPr="009F19D4" w:rsidRDefault="003B3735">
            <w:pPr>
              <w:rPr>
                <w:sz w:val="24"/>
                <w:szCs w:val="24"/>
              </w:rPr>
            </w:pPr>
            <w:r w:rsidRPr="009F19D4">
              <w:rPr>
                <w:b/>
                <w:bCs/>
                <w:color w:val="FFFFFF"/>
                <w:sz w:val="24"/>
                <w:szCs w:val="24"/>
              </w:rPr>
              <w:t>Evidence</w:t>
            </w:r>
          </w:p>
        </w:tc>
        <w:tc>
          <w:tcPr>
            <w:tcW w:w="3479" w:type="dxa"/>
            <w:shd w:val="clear" w:color="auto" w:fill="1F4E79"/>
            <w:tcMar>
              <w:top w:w="80" w:type="dxa"/>
              <w:left w:w="120" w:type="dxa"/>
              <w:bottom w:w="80" w:type="dxa"/>
              <w:right w:w="120" w:type="dxa"/>
            </w:tcMar>
            <w:vAlign w:val="center"/>
          </w:tcPr>
          <w:p w:rsidR="004A3BA5" w:rsidRPr="009F19D4" w:rsidRDefault="003B3735">
            <w:pPr>
              <w:rPr>
                <w:sz w:val="24"/>
                <w:szCs w:val="24"/>
              </w:rPr>
            </w:pPr>
            <w:r w:rsidRPr="009F19D4">
              <w:rPr>
                <w:b/>
                <w:bCs/>
                <w:color w:val="FFFFFF"/>
                <w:sz w:val="24"/>
                <w:szCs w:val="24"/>
              </w:rPr>
              <w:t>Implication</w:t>
            </w:r>
          </w:p>
        </w:tc>
      </w:tr>
      <w:tr w:rsidR="004A3BA5" w:rsidTr="009F19D4">
        <w:trPr>
          <w:cantSplit/>
          <w:trHeight w:val="2061"/>
        </w:trPr>
        <w:tc>
          <w:tcPr>
            <w:tcW w:w="282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Satisfaction Index is simulated, not measured</w:t>
            </w:r>
          </w:p>
        </w:tc>
        <w:tc>
          <w:tcPr>
            <w:tcW w:w="369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Constructed via a documented formula with Gaussian noise, not survey data</w:t>
            </w:r>
          </w:p>
        </w:tc>
        <w:tc>
          <w:tcPr>
            <w:tcW w:w="3479"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Absolute Satisfaction values (e.g. "82.2") must never be quoted as real citizen sentiment — only the relationships (regression/correlation) are the analytical product</w:t>
            </w:r>
          </w:p>
        </w:tc>
      </w:tr>
      <w:tr w:rsidR="004A3BA5" w:rsidTr="009F19D4">
        <w:trPr>
          <w:cantSplit/>
          <w:trHeight w:val="2049"/>
        </w:trPr>
        <w:tc>
          <w:tcPr>
            <w:tcW w:w="282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Regression R² is partly a function of the simulation design</w:t>
            </w:r>
          </w:p>
        </w:tc>
        <w:tc>
          <w:tcPr>
            <w:tcW w:w="369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 xml:space="preserve">Satisfaction was generated FROM </w:t>
            </w:r>
            <w:proofErr w:type="spellStart"/>
            <w:r w:rsidRPr="009F19D4">
              <w:rPr>
                <w:color w:val="000000"/>
                <w:sz w:val="24"/>
                <w:szCs w:val="24"/>
              </w:rPr>
              <w:t>RejectionRate</w:t>
            </w:r>
            <w:proofErr w:type="spellEnd"/>
            <w:r w:rsidRPr="009F19D4">
              <w:rPr>
                <w:color w:val="000000"/>
                <w:sz w:val="24"/>
                <w:szCs w:val="24"/>
              </w:rPr>
              <w:t xml:space="preserve"> and </w:t>
            </w:r>
            <w:proofErr w:type="spellStart"/>
            <w:r w:rsidRPr="009F19D4">
              <w:rPr>
                <w:color w:val="000000"/>
                <w:sz w:val="24"/>
                <w:szCs w:val="24"/>
              </w:rPr>
              <w:t>MobileCaptureRate</w:t>
            </w:r>
            <w:proofErr w:type="spellEnd"/>
            <w:r w:rsidRPr="009F19D4">
              <w:rPr>
                <w:color w:val="000000"/>
                <w:sz w:val="24"/>
                <w:szCs w:val="24"/>
              </w:rPr>
              <w:t>, so a high R² (0.782) is expected by construction</w:t>
            </w:r>
          </w:p>
        </w:tc>
        <w:tc>
          <w:tcPr>
            <w:tcW w:w="3479"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This analysis validates the simulation's internal consistency, not an external real-world discovery — it demonstrates the statistical technique correctly, pending real survey data</w:t>
            </w:r>
          </w:p>
        </w:tc>
      </w:tr>
      <w:tr w:rsidR="004A3BA5" w:rsidTr="009F19D4">
        <w:trPr>
          <w:cantSplit/>
          <w:trHeight w:val="2049"/>
        </w:trPr>
        <w:tc>
          <w:tcPr>
            <w:tcW w:w="282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Small-sample states excluded, changing prior conclusions</w:t>
            </w:r>
          </w:p>
        </w:tc>
        <w:tc>
          <w:tcPr>
            <w:tcW w:w="369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37 states (Week 3) → 32 states (Week 4) after removing n&lt;100 states</w:t>
            </w:r>
          </w:p>
        </w:tc>
        <w:tc>
          <w:tcPr>
            <w:tcW w:w="3479"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Rejection vs. Mobile correlation shifted from r=0.27 (Week 3, all states) to r=-0.02 (Week 4, filtered) — illustrates how bias-aware cleaning changes conclusions (see Section 8.4)</w:t>
            </w:r>
          </w:p>
        </w:tc>
      </w:tr>
      <w:tr w:rsidR="004A3BA5" w:rsidTr="009F19D4">
        <w:trPr>
          <w:cantSplit/>
          <w:trHeight w:val="1175"/>
        </w:trPr>
        <w:tc>
          <w:tcPr>
            <w:tcW w:w="282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Real metrics remain aggregated, not individual-level</w:t>
            </w:r>
          </w:p>
        </w:tc>
        <w:tc>
          <w:tcPr>
            <w:tcW w:w="369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Same batch-level structure as Weeks 1-3</w:t>
            </w:r>
          </w:p>
        </w:tc>
        <w:tc>
          <w:tcPr>
            <w:tcW w:w="3479"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Efficiency/equity correlations describe state-level patterns, not individual citizen behaviour</w:t>
            </w:r>
          </w:p>
        </w:tc>
      </w:tr>
      <w:tr w:rsidR="004A3BA5" w:rsidTr="009F19D4">
        <w:trPr>
          <w:cantSplit/>
          <w:trHeight w:val="1163"/>
        </w:trPr>
        <w:tc>
          <w:tcPr>
            <w:tcW w:w="2826"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Anchor point is a single national app rating, not a government survey</w:t>
            </w:r>
          </w:p>
        </w:tc>
        <w:tc>
          <w:tcPr>
            <w:tcW w:w="3696" w:type="dxa"/>
            <w:tcMar>
              <w:top w:w="80" w:type="dxa"/>
              <w:left w:w="120" w:type="dxa"/>
              <w:bottom w:w="80" w:type="dxa"/>
              <w:right w:w="120" w:type="dxa"/>
            </w:tcMar>
            <w:vAlign w:val="center"/>
          </w:tcPr>
          <w:p w:rsidR="004A3BA5" w:rsidRPr="009F19D4" w:rsidRDefault="003B3735">
            <w:pPr>
              <w:rPr>
                <w:sz w:val="24"/>
                <w:szCs w:val="24"/>
              </w:rPr>
            </w:pPr>
            <w:proofErr w:type="spellStart"/>
            <w:r w:rsidRPr="009F19D4">
              <w:rPr>
                <w:color w:val="000000"/>
                <w:sz w:val="24"/>
                <w:szCs w:val="24"/>
              </w:rPr>
              <w:t>DigiLocker's</w:t>
            </w:r>
            <w:proofErr w:type="spellEnd"/>
            <w:r w:rsidRPr="009F19D4">
              <w:rPr>
                <w:color w:val="000000"/>
                <w:sz w:val="24"/>
                <w:szCs w:val="24"/>
              </w:rPr>
              <w:t xml:space="preserve"> Play Store rating (4.1/5) is a convenience proxy</w:t>
            </w:r>
          </w:p>
        </w:tc>
        <w:tc>
          <w:tcPr>
            <w:tcW w:w="3479" w:type="dxa"/>
            <w:tcMar>
              <w:top w:w="80" w:type="dxa"/>
              <w:left w:w="120" w:type="dxa"/>
              <w:bottom w:w="80" w:type="dxa"/>
              <w:right w:w="120" w:type="dxa"/>
            </w:tcMar>
            <w:vAlign w:val="center"/>
          </w:tcPr>
          <w:p w:rsidR="004A3BA5" w:rsidRPr="009F19D4" w:rsidRDefault="003B3735">
            <w:pPr>
              <w:rPr>
                <w:sz w:val="24"/>
                <w:szCs w:val="24"/>
              </w:rPr>
            </w:pPr>
            <w:r w:rsidRPr="009F19D4">
              <w:rPr>
                <w:color w:val="000000"/>
                <w:sz w:val="24"/>
                <w:szCs w:val="24"/>
              </w:rPr>
              <w:t>A different anchor (e.g. an official citizen satisfaction survey, if published) could shift the baseline materially</w:t>
            </w:r>
          </w:p>
        </w:tc>
      </w:tr>
    </w:tbl>
    <w:p w:rsidR="004A3BA5" w:rsidRDefault="004A3BA5">
      <w:pPr>
        <w:spacing w:after="200"/>
      </w:pPr>
    </w:p>
    <w:p w:rsidR="009F19D4" w:rsidRDefault="009F19D4">
      <w:pPr>
        <w:pStyle w:val="Heading1"/>
      </w:pPr>
      <w:bookmarkStart w:id="18" w:name="_Toc240813162"/>
    </w:p>
    <w:p w:rsidR="004A3BA5" w:rsidRPr="00F26407" w:rsidRDefault="003B3735">
      <w:pPr>
        <w:pStyle w:val="Heading1"/>
        <w:rPr>
          <w:sz w:val="32"/>
          <w:szCs w:val="32"/>
        </w:rPr>
      </w:pPr>
      <w:r w:rsidRPr="00F26407">
        <w:rPr>
          <w:sz w:val="32"/>
          <w:szCs w:val="32"/>
        </w:rPr>
        <w:lastRenderedPageBreak/>
        <w:t>10. Conclusion</w:t>
      </w:r>
      <w:bookmarkEnd w:id="18"/>
    </w:p>
    <w:p w:rsidR="004A3BA5" w:rsidRPr="009F19D4" w:rsidRDefault="003B3735">
      <w:pPr>
        <w:spacing w:after="160" w:line="276" w:lineRule="auto"/>
        <w:rPr>
          <w:sz w:val="28"/>
          <w:szCs w:val="28"/>
        </w:rPr>
      </w:pPr>
      <w:r w:rsidRPr="009F19D4">
        <w:rPr>
          <w:sz w:val="28"/>
          <w:szCs w:val="28"/>
        </w:rPr>
        <w:t xml:space="preserve">This report applied Pearson correlation, multiple linear </w:t>
      </w:r>
      <w:proofErr w:type="gramStart"/>
      <w:r w:rsidRPr="009F19D4">
        <w:rPr>
          <w:sz w:val="28"/>
          <w:szCs w:val="28"/>
        </w:rPr>
        <w:t>regression</w:t>
      </w:r>
      <w:proofErr w:type="gramEnd"/>
      <w:r w:rsidRPr="009F19D4">
        <w:rPr>
          <w:sz w:val="28"/>
          <w:szCs w:val="28"/>
        </w:rPr>
        <w:t xml:space="preserve">, and a bonus t-test to three e-governance performance metrics spanning two real, independently sourced datasets (UIDAI </w:t>
      </w:r>
      <w:proofErr w:type="spellStart"/>
      <w:r w:rsidRPr="009F19D4">
        <w:rPr>
          <w:sz w:val="28"/>
          <w:szCs w:val="28"/>
        </w:rPr>
        <w:t>enrollment</w:t>
      </w:r>
      <w:proofErr w:type="spellEnd"/>
      <w:r w:rsidRPr="009F19D4">
        <w:rPr>
          <w:sz w:val="28"/>
          <w:szCs w:val="28"/>
        </w:rPr>
        <w:t xml:space="preserve"> records</w:t>
      </w:r>
      <w:bookmarkStart w:id="19" w:name="_GoBack"/>
      <w:bookmarkEnd w:id="19"/>
      <w:r w:rsidRPr="009F19D4">
        <w:rPr>
          <w:sz w:val="28"/>
          <w:szCs w:val="28"/>
        </w:rPr>
        <w:t xml:space="preserve">; </w:t>
      </w:r>
      <w:proofErr w:type="spellStart"/>
      <w:r w:rsidRPr="009F19D4">
        <w:rPr>
          <w:sz w:val="28"/>
          <w:szCs w:val="28"/>
        </w:rPr>
        <w:t>DigiLocker's</w:t>
      </w:r>
      <w:proofErr w:type="spellEnd"/>
      <w:r w:rsidRPr="009F19D4">
        <w:rPr>
          <w:sz w:val="28"/>
          <w:szCs w:val="28"/>
        </w:rPr>
        <w:t xml:space="preserve"> public Play Store rating as a simulation anchor) plus one transparently simulated index. The regression model explains 78.2% of variance in the (simulated) Satisfaction Index, with Access Equity emerging as the stronger predictor over Service Efficiency — a finding presented with explicit caveats about what a simulated dependent variable can and cannot prove. The clearest, most defensible real-world finding — that Access Equity and Service Efficiency are statistically independent of each other (r=-0.02, non-significant across two separate samples) — is the one policy conclusion in this report that rests on entirely real, measured data.</w:t>
      </w:r>
    </w:p>
    <w:sectPr w:rsidR="004A3BA5" w:rsidRPr="009F19D4">
      <w:headerReference w:type="default" r:id="rId14"/>
      <w:footerReference w:type="default" r:id="rId1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03DA4" w:rsidRDefault="00703DA4">
      <w:r>
        <w:separator/>
      </w:r>
    </w:p>
  </w:endnote>
  <w:endnote w:type="continuationSeparator" w:id="0">
    <w:p w:rsidR="00703DA4" w:rsidRDefault="00703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BA5" w:rsidRDefault="003B3735">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F26407">
      <w:rPr>
        <w:noProof/>
        <w:color w:val="999999"/>
        <w:sz w:val="18"/>
        <w:szCs w:val="18"/>
      </w:rPr>
      <w:t>12</w:t>
    </w:r>
    <w:r>
      <w:rPr>
        <w:color w:val="999999"/>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03DA4" w:rsidRDefault="00703DA4">
      <w:r>
        <w:separator/>
      </w:r>
    </w:p>
  </w:footnote>
  <w:footnote w:type="continuationSeparator" w:id="0">
    <w:p w:rsidR="00703DA4" w:rsidRDefault="00703DA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A3BA5" w:rsidRPr="00B6129C" w:rsidRDefault="003B3735">
    <w:pPr>
      <w:jc w:val="right"/>
      <w:rPr>
        <w:sz w:val="24"/>
        <w:szCs w:val="24"/>
      </w:rPr>
    </w:pPr>
    <w:r w:rsidRPr="00B6129C">
      <w:rPr>
        <w:color w:val="999999"/>
        <w:sz w:val="24"/>
        <w:szCs w:val="24"/>
      </w:rPr>
      <w:t>Statistical Analysis — E-Governance Performance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C70A3B"/>
    <w:multiLevelType w:val="hybridMultilevel"/>
    <w:tmpl w:val="6C9AE080"/>
    <w:lvl w:ilvl="0" w:tplc="4BBC013A">
      <w:start w:val="1"/>
      <w:numFmt w:val="bullet"/>
      <w:lvlText w:val="●"/>
      <w:lvlJc w:val="left"/>
      <w:pPr>
        <w:ind w:left="720" w:hanging="360"/>
      </w:pPr>
    </w:lvl>
    <w:lvl w:ilvl="1" w:tplc="80DC093E">
      <w:start w:val="1"/>
      <w:numFmt w:val="bullet"/>
      <w:lvlText w:val="○"/>
      <w:lvlJc w:val="left"/>
      <w:pPr>
        <w:ind w:left="1440" w:hanging="360"/>
      </w:pPr>
    </w:lvl>
    <w:lvl w:ilvl="2" w:tplc="F7CE476A">
      <w:start w:val="1"/>
      <w:numFmt w:val="bullet"/>
      <w:lvlText w:val="■"/>
      <w:lvlJc w:val="left"/>
      <w:pPr>
        <w:ind w:left="2160" w:hanging="360"/>
      </w:pPr>
    </w:lvl>
    <w:lvl w:ilvl="3" w:tplc="388CD05C">
      <w:start w:val="1"/>
      <w:numFmt w:val="bullet"/>
      <w:lvlText w:val="●"/>
      <w:lvlJc w:val="left"/>
      <w:pPr>
        <w:ind w:left="2880" w:hanging="360"/>
      </w:pPr>
    </w:lvl>
    <w:lvl w:ilvl="4" w:tplc="DB201086">
      <w:start w:val="1"/>
      <w:numFmt w:val="bullet"/>
      <w:lvlText w:val="○"/>
      <w:lvlJc w:val="left"/>
      <w:pPr>
        <w:ind w:left="3600" w:hanging="360"/>
      </w:pPr>
    </w:lvl>
    <w:lvl w:ilvl="5" w:tplc="69E4EF8C">
      <w:start w:val="1"/>
      <w:numFmt w:val="bullet"/>
      <w:lvlText w:val="■"/>
      <w:lvlJc w:val="left"/>
      <w:pPr>
        <w:ind w:left="4320" w:hanging="360"/>
      </w:pPr>
    </w:lvl>
    <w:lvl w:ilvl="6" w:tplc="6854CE18">
      <w:start w:val="1"/>
      <w:numFmt w:val="bullet"/>
      <w:lvlText w:val="●"/>
      <w:lvlJc w:val="left"/>
      <w:pPr>
        <w:ind w:left="5040" w:hanging="360"/>
      </w:pPr>
    </w:lvl>
    <w:lvl w:ilvl="7" w:tplc="27E006F8">
      <w:start w:val="1"/>
      <w:numFmt w:val="bullet"/>
      <w:lvlText w:val="●"/>
      <w:lvlJc w:val="left"/>
      <w:pPr>
        <w:ind w:left="5760" w:hanging="360"/>
      </w:pPr>
    </w:lvl>
    <w:lvl w:ilvl="8" w:tplc="D77C40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4A3BA5"/>
    <w:rsid w:val="003B3735"/>
    <w:rsid w:val="004A3BA5"/>
    <w:rsid w:val="00703DA4"/>
    <w:rsid w:val="009F19D4"/>
    <w:rsid w:val="00B6129C"/>
    <w:rsid w:val="00F2640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F4E79"/>
      <w:sz w:val="30"/>
      <w:szCs w:val="30"/>
    </w:rPr>
  </w:style>
  <w:style w:type="paragraph" w:styleId="Heading2">
    <w:name w:val="heading 2"/>
    <w:qFormat/>
    <w:pPr>
      <w:spacing w:before="260" w:after="120"/>
      <w:outlineLvl w:val="1"/>
    </w:pPr>
    <w:rPr>
      <w:b/>
      <w:bCs/>
      <w:color w:val="2E9E8F"/>
      <w:sz w:val="25"/>
      <w:szCs w:val="25"/>
    </w:rPr>
  </w:style>
  <w:style w:type="paragraph" w:styleId="Heading3">
    <w:name w:val="heading 3"/>
    <w:qFormat/>
    <w:pPr>
      <w:spacing w:before="200" w:after="100"/>
      <w:outlineLvl w:val="2"/>
    </w:pPr>
    <w:rPr>
      <w:b/>
      <w:bCs/>
      <w:color w:val="59595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129C"/>
    <w:pPr>
      <w:spacing w:after="100"/>
    </w:pPr>
    <w:rPr>
      <w:rFonts w:cs="Mangal"/>
      <w:szCs w:val="20"/>
    </w:rPr>
  </w:style>
  <w:style w:type="paragraph" w:styleId="TOC2">
    <w:name w:val="toc 2"/>
    <w:basedOn w:val="Normal"/>
    <w:next w:val="Normal"/>
    <w:autoRedefine/>
    <w:uiPriority w:val="39"/>
    <w:unhideWhenUsed/>
    <w:rsid w:val="00B6129C"/>
    <w:pPr>
      <w:spacing w:after="100"/>
      <w:ind w:left="220"/>
    </w:pPr>
    <w:rPr>
      <w:rFonts w:cs="Mangal"/>
      <w:szCs w:val="20"/>
    </w:rPr>
  </w:style>
  <w:style w:type="paragraph" w:styleId="Header">
    <w:name w:val="header"/>
    <w:basedOn w:val="Normal"/>
    <w:link w:val="HeaderChar"/>
    <w:uiPriority w:val="99"/>
    <w:unhideWhenUsed/>
    <w:rsid w:val="00B6129C"/>
    <w:pPr>
      <w:tabs>
        <w:tab w:val="center" w:pos="4513"/>
        <w:tab w:val="right" w:pos="9026"/>
      </w:tabs>
    </w:pPr>
    <w:rPr>
      <w:rFonts w:cs="Mangal"/>
      <w:szCs w:val="20"/>
    </w:rPr>
  </w:style>
  <w:style w:type="character" w:customStyle="1" w:styleId="HeaderChar">
    <w:name w:val="Header Char"/>
    <w:basedOn w:val="DefaultParagraphFont"/>
    <w:link w:val="Header"/>
    <w:uiPriority w:val="99"/>
    <w:rsid w:val="00B6129C"/>
    <w:rPr>
      <w:rFonts w:cs="Mangal"/>
      <w:szCs w:val="20"/>
    </w:rPr>
  </w:style>
  <w:style w:type="paragraph" w:styleId="Footer">
    <w:name w:val="footer"/>
    <w:basedOn w:val="Normal"/>
    <w:link w:val="FooterChar"/>
    <w:uiPriority w:val="99"/>
    <w:unhideWhenUsed/>
    <w:rsid w:val="00B6129C"/>
    <w:pPr>
      <w:tabs>
        <w:tab w:val="center" w:pos="4513"/>
        <w:tab w:val="right" w:pos="9026"/>
      </w:tabs>
    </w:pPr>
    <w:rPr>
      <w:rFonts w:cs="Mangal"/>
      <w:szCs w:val="20"/>
    </w:rPr>
  </w:style>
  <w:style w:type="character" w:customStyle="1" w:styleId="FooterChar">
    <w:name w:val="Footer Char"/>
    <w:basedOn w:val="DefaultParagraphFont"/>
    <w:link w:val="Footer"/>
    <w:uiPriority w:val="99"/>
    <w:rsid w:val="00B6129C"/>
    <w:rPr>
      <w:rFonts w:cs="Mangal"/>
      <w:szCs w:val="20"/>
    </w:rPr>
  </w:style>
  <w:style w:type="paragraph" w:styleId="BalloonText">
    <w:name w:val="Balloon Text"/>
    <w:basedOn w:val="Normal"/>
    <w:link w:val="BalloonTextChar"/>
    <w:uiPriority w:val="99"/>
    <w:semiHidden/>
    <w:unhideWhenUsed/>
    <w:rsid w:val="00B6129C"/>
    <w:rPr>
      <w:rFonts w:ascii="Tahoma" w:hAnsi="Tahoma" w:cs="Mangal"/>
      <w:sz w:val="16"/>
      <w:szCs w:val="14"/>
    </w:rPr>
  </w:style>
  <w:style w:type="character" w:customStyle="1" w:styleId="BalloonTextChar">
    <w:name w:val="Balloon Text Char"/>
    <w:basedOn w:val="DefaultParagraphFont"/>
    <w:link w:val="BalloonText"/>
    <w:uiPriority w:val="99"/>
    <w:semiHidden/>
    <w:rsid w:val="00B6129C"/>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160"/>
      <w:outlineLvl w:val="0"/>
    </w:pPr>
    <w:rPr>
      <w:b/>
      <w:bCs/>
      <w:color w:val="1F4E79"/>
      <w:sz w:val="30"/>
      <w:szCs w:val="30"/>
    </w:rPr>
  </w:style>
  <w:style w:type="paragraph" w:styleId="Heading2">
    <w:name w:val="heading 2"/>
    <w:qFormat/>
    <w:pPr>
      <w:spacing w:before="260" w:after="120"/>
      <w:outlineLvl w:val="1"/>
    </w:pPr>
    <w:rPr>
      <w:b/>
      <w:bCs/>
      <w:color w:val="2E9E8F"/>
      <w:sz w:val="25"/>
      <w:szCs w:val="25"/>
    </w:rPr>
  </w:style>
  <w:style w:type="paragraph" w:styleId="Heading3">
    <w:name w:val="heading 3"/>
    <w:qFormat/>
    <w:pPr>
      <w:spacing w:before="200" w:after="100"/>
      <w:outlineLvl w:val="2"/>
    </w:pPr>
    <w:rPr>
      <w:b/>
      <w:bCs/>
      <w:color w:val="595959"/>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129C"/>
    <w:pPr>
      <w:spacing w:after="100"/>
    </w:pPr>
    <w:rPr>
      <w:rFonts w:cs="Mangal"/>
      <w:szCs w:val="20"/>
    </w:rPr>
  </w:style>
  <w:style w:type="paragraph" w:styleId="TOC2">
    <w:name w:val="toc 2"/>
    <w:basedOn w:val="Normal"/>
    <w:next w:val="Normal"/>
    <w:autoRedefine/>
    <w:uiPriority w:val="39"/>
    <w:unhideWhenUsed/>
    <w:rsid w:val="00B6129C"/>
    <w:pPr>
      <w:spacing w:after="100"/>
      <w:ind w:left="220"/>
    </w:pPr>
    <w:rPr>
      <w:rFonts w:cs="Mangal"/>
      <w:szCs w:val="20"/>
    </w:rPr>
  </w:style>
  <w:style w:type="paragraph" w:styleId="Header">
    <w:name w:val="header"/>
    <w:basedOn w:val="Normal"/>
    <w:link w:val="HeaderChar"/>
    <w:uiPriority w:val="99"/>
    <w:unhideWhenUsed/>
    <w:rsid w:val="00B6129C"/>
    <w:pPr>
      <w:tabs>
        <w:tab w:val="center" w:pos="4513"/>
        <w:tab w:val="right" w:pos="9026"/>
      </w:tabs>
    </w:pPr>
    <w:rPr>
      <w:rFonts w:cs="Mangal"/>
      <w:szCs w:val="20"/>
    </w:rPr>
  </w:style>
  <w:style w:type="character" w:customStyle="1" w:styleId="HeaderChar">
    <w:name w:val="Header Char"/>
    <w:basedOn w:val="DefaultParagraphFont"/>
    <w:link w:val="Header"/>
    <w:uiPriority w:val="99"/>
    <w:rsid w:val="00B6129C"/>
    <w:rPr>
      <w:rFonts w:cs="Mangal"/>
      <w:szCs w:val="20"/>
    </w:rPr>
  </w:style>
  <w:style w:type="paragraph" w:styleId="Footer">
    <w:name w:val="footer"/>
    <w:basedOn w:val="Normal"/>
    <w:link w:val="FooterChar"/>
    <w:uiPriority w:val="99"/>
    <w:unhideWhenUsed/>
    <w:rsid w:val="00B6129C"/>
    <w:pPr>
      <w:tabs>
        <w:tab w:val="center" w:pos="4513"/>
        <w:tab w:val="right" w:pos="9026"/>
      </w:tabs>
    </w:pPr>
    <w:rPr>
      <w:rFonts w:cs="Mangal"/>
      <w:szCs w:val="20"/>
    </w:rPr>
  </w:style>
  <w:style w:type="character" w:customStyle="1" w:styleId="FooterChar">
    <w:name w:val="Footer Char"/>
    <w:basedOn w:val="DefaultParagraphFont"/>
    <w:link w:val="Footer"/>
    <w:uiPriority w:val="99"/>
    <w:rsid w:val="00B6129C"/>
    <w:rPr>
      <w:rFonts w:cs="Mangal"/>
      <w:szCs w:val="20"/>
    </w:rPr>
  </w:style>
  <w:style w:type="paragraph" w:styleId="BalloonText">
    <w:name w:val="Balloon Text"/>
    <w:basedOn w:val="Normal"/>
    <w:link w:val="BalloonTextChar"/>
    <w:uiPriority w:val="99"/>
    <w:semiHidden/>
    <w:unhideWhenUsed/>
    <w:rsid w:val="00B6129C"/>
    <w:rPr>
      <w:rFonts w:ascii="Tahoma" w:hAnsi="Tahoma" w:cs="Mangal"/>
      <w:sz w:val="16"/>
      <w:szCs w:val="14"/>
    </w:rPr>
  </w:style>
  <w:style w:type="character" w:customStyle="1" w:styleId="BalloonTextChar">
    <w:name w:val="Balloon Text Char"/>
    <w:basedOn w:val="DefaultParagraphFont"/>
    <w:link w:val="BalloonText"/>
    <w:uiPriority w:val="99"/>
    <w:semiHidden/>
    <w:rsid w:val="00B6129C"/>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2216</Words>
  <Characters>12637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Patel</cp:lastModifiedBy>
  <cp:revision>3</cp:revision>
  <dcterms:created xsi:type="dcterms:W3CDTF">2026-09-17T02:23:00Z</dcterms:created>
  <dcterms:modified xsi:type="dcterms:W3CDTF">2026-09-20T10:58:00Z</dcterms:modified>
</cp:coreProperties>
</file>