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2B46" w14:textId="77777777" w:rsidR="00F728EF" w:rsidRPr="00F728EF" w:rsidRDefault="00F728EF" w:rsidP="00F728EF">
      <w:pPr>
        <w:rPr>
          <w:b/>
          <w:bCs/>
          <w:lang w:val="en-SG"/>
        </w:rPr>
      </w:pPr>
      <w:r w:rsidRPr="00F728EF">
        <w:rPr>
          <w:b/>
          <w:bCs/>
          <w:lang w:val="en-SG"/>
        </w:rPr>
        <w:t>Introduction</w:t>
      </w:r>
    </w:p>
    <w:p w14:paraId="4040F6F2" w14:textId="77777777" w:rsidR="00F728EF" w:rsidRPr="00F728EF" w:rsidRDefault="00F728EF" w:rsidP="00F728EF">
      <w:pPr>
        <w:rPr>
          <w:lang w:val="en-SG"/>
        </w:rPr>
      </w:pPr>
      <w:r w:rsidRPr="00F728EF">
        <w:rPr>
          <w:lang w:val="en-SG"/>
        </w:rPr>
        <w:t>The financial market is a complex, dynamic environment characterized by high volatility, non-stationary signals, and a low signal-to-noise ratio. Accurately predicting asset prices or optimizing investment strategies remains a formidable challenge, attracting the attention of both researchers and practitioners. Traditional models like ARIMA and linear regressions often fall short in capturing nonlinear patterns and adapting to new market conditions.</w:t>
      </w:r>
    </w:p>
    <w:p w14:paraId="174E6594" w14:textId="77777777" w:rsidR="00F728EF" w:rsidRPr="00F728EF" w:rsidRDefault="00F728EF" w:rsidP="00F728EF">
      <w:pPr>
        <w:rPr>
          <w:lang w:val="en-SG"/>
        </w:rPr>
      </w:pPr>
      <w:r w:rsidRPr="00F728EF">
        <w:rPr>
          <w:lang w:val="en-SG"/>
        </w:rPr>
        <w:t xml:space="preserve">In response, the recent surge in machine learning, particularly </w:t>
      </w:r>
      <w:r w:rsidRPr="00F728EF">
        <w:rPr>
          <w:b/>
          <w:bCs/>
          <w:lang w:val="en-SG"/>
        </w:rPr>
        <w:t>deep learning</w:t>
      </w:r>
      <w:r w:rsidRPr="00F728EF">
        <w:rPr>
          <w:lang w:val="en-SG"/>
        </w:rPr>
        <w:t xml:space="preserve"> and </w:t>
      </w:r>
      <w:r w:rsidRPr="00F728EF">
        <w:rPr>
          <w:b/>
          <w:bCs/>
          <w:lang w:val="en-SG"/>
        </w:rPr>
        <w:t>reinforcement learning (RL)</w:t>
      </w:r>
      <w:r w:rsidRPr="00F728EF">
        <w:rPr>
          <w:lang w:val="en-SG"/>
        </w:rPr>
        <w:t>, has opened new avenues for financial forecasting and trading automation. These approaches bring the potential to model intricate temporal dependencies, adapt through online learning, and incorporate high-dimensional, multimodal data sources such as financial news, social media sentiment, and real-time prices.</w:t>
      </w:r>
    </w:p>
    <w:p w14:paraId="359B9311" w14:textId="7AD0D849" w:rsidR="00F728EF" w:rsidRPr="00F728EF" w:rsidRDefault="00F728EF" w:rsidP="00F728EF">
      <w:pPr>
        <w:rPr>
          <w:lang w:val="en-SG"/>
        </w:rPr>
      </w:pPr>
      <w:r w:rsidRPr="00F728EF">
        <w:rPr>
          <w:lang w:val="en-SG"/>
        </w:rPr>
        <w:t>This review synthesizes six papers that span three emerging fronts in financial AI:</w:t>
      </w:r>
    </w:p>
    <w:p w14:paraId="2C65C4C6" w14:textId="77777777" w:rsidR="00F728EF" w:rsidRPr="00F728EF" w:rsidRDefault="00F728EF" w:rsidP="00F728EF">
      <w:pPr>
        <w:numPr>
          <w:ilvl w:val="0"/>
          <w:numId w:val="1"/>
        </w:numPr>
        <w:rPr>
          <w:lang w:val="en-SG"/>
        </w:rPr>
      </w:pPr>
      <w:r w:rsidRPr="00F728EF">
        <w:rPr>
          <w:b/>
          <w:bCs/>
          <w:lang w:val="en-SG"/>
        </w:rPr>
        <w:t>Time series forecasting</w:t>
      </w:r>
      <w:r w:rsidRPr="00F728EF">
        <w:rPr>
          <w:lang w:val="en-SG"/>
        </w:rPr>
        <w:t xml:space="preserve"> using lightweight neural architectures.</w:t>
      </w:r>
    </w:p>
    <w:p w14:paraId="573AB25A" w14:textId="77777777" w:rsidR="00F728EF" w:rsidRPr="00F728EF" w:rsidRDefault="00F728EF" w:rsidP="00F728EF">
      <w:pPr>
        <w:numPr>
          <w:ilvl w:val="0"/>
          <w:numId w:val="1"/>
        </w:numPr>
        <w:rPr>
          <w:lang w:val="en-SG"/>
        </w:rPr>
      </w:pPr>
      <w:r w:rsidRPr="00F728EF">
        <w:rPr>
          <w:b/>
          <w:bCs/>
          <w:lang w:val="en-SG"/>
        </w:rPr>
        <w:t>Portfolio management and trading</w:t>
      </w:r>
      <w:r w:rsidRPr="00F728EF">
        <w:rPr>
          <w:lang w:val="en-SG"/>
        </w:rPr>
        <w:t xml:space="preserve"> using deep reinforcement learning.</w:t>
      </w:r>
    </w:p>
    <w:p w14:paraId="01D8F90C" w14:textId="77777777" w:rsidR="00F728EF" w:rsidRPr="00F728EF" w:rsidRDefault="00F728EF" w:rsidP="00F728EF">
      <w:pPr>
        <w:numPr>
          <w:ilvl w:val="0"/>
          <w:numId w:val="1"/>
        </w:numPr>
        <w:rPr>
          <w:lang w:val="en-SG"/>
        </w:rPr>
      </w:pPr>
      <w:r w:rsidRPr="00F728EF">
        <w:rPr>
          <w:b/>
          <w:bCs/>
          <w:lang w:val="en-SG"/>
        </w:rPr>
        <w:t>Data-centric and benchmark-driven platforms</w:t>
      </w:r>
      <w:r w:rsidRPr="00F728EF">
        <w:rPr>
          <w:lang w:val="en-SG"/>
        </w:rPr>
        <w:t xml:space="preserve"> for developing and evaluating financial AI agents.</w:t>
      </w:r>
    </w:p>
    <w:p w14:paraId="7BD6E65F" w14:textId="77777777" w:rsidR="00F728EF" w:rsidRDefault="00F728EF" w:rsidP="00F728EF">
      <w:pPr>
        <w:rPr>
          <w:lang w:val="en-SG"/>
        </w:rPr>
      </w:pPr>
      <w:r w:rsidRPr="00F728EF">
        <w:rPr>
          <w:lang w:val="en-SG"/>
        </w:rPr>
        <w:t>Together, these works represent the convergence of model innovation, infrastructure development, and data integration—setting the stage for robust, adaptive, and scalable financial decision-making systems.</w:t>
      </w:r>
    </w:p>
    <w:p w14:paraId="69FC3197" w14:textId="77777777" w:rsidR="00F728EF" w:rsidRPr="00F728EF" w:rsidRDefault="00F728EF" w:rsidP="00F728EF">
      <w:pPr>
        <w:rPr>
          <w:b/>
          <w:bCs/>
          <w:lang w:val="en-SG"/>
        </w:rPr>
      </w:pPr>
      <w:r w:rsidRPr="00F728EF">
        <w:rPr>
          <w:b/>
          <w:bCs/>
          <w:lang w:val="en-SG"/>
        </w:rPr>
        <w:t>Forecasting Approaches</w:t>
      </w:r>
    </w:p>
    <w:p w14:paraId="0B075556" w14:textId="77777777" w:rsidR="00F728EF" w:rsidRPr="00F728EF" w:rsidRDefault="00F728EF" w:rsidP="00F728EF">
      <w:pPr>
        <w:rPr>
          <w:lang w:val="en-SG"/>
        </w:rPr>
      </w:pPr>
      <w:r w:rsidRPr="00F728EF">
        <w:rPr>
          <w:lang w:val="en-SG"/>
        </w:rPr>
        <w:t>Traditional time series forecasting in finance has heavily relied on statistical models such as ARIMA, which assume linearity and stationarity—assumptions often violated in real-world financial data. As a result, researchers have explored machine learning-based alternatives to capture nonlinear dependencies and better handle the stochastic nature of asset prices.</w:t>
      </w:r>
    </w:p>
    <w:p w14:paraId="336188CD" w14:textId="77777777" w:rsidR="00F728EF" w:rsidRPr="00F728EF" w:rsidRDefault="00F728EF" w:rsidP="00F728EF">
      <w:pPr>
        <w:rPr>
          <w:lang w:val="en-SG"/>
        </w:rPr>
      </w:pPr>
      <w:r w:rsidRPr="00F728EF">
        <w:rPr>
          <w:lang w:val="en-SG"/>
        </w:rPr>
        <w:t xml:space="preserve">A notable contribution in this space is the use of </w:t>
      </w:r>
      <w:r w:rsidRPr="00F728EF">
        <w:rPr>
          <w:b/>
          <w:bCs/>
          <w:lang w:val="en-SG"/>
        </w:rPr>
        <w:t>Reservoir Computing (RC)</w:t>
      </w:r>
      <w:r w:rsidRPr="00F728EF">
        <w:rPr>
          <w:lang w:val="en-SG"/>
        </w:rPr>
        <w:t xml:space="preserve">, specifically </w:t>
      </w:r>
      <w:r w:rsidRPr="00F728EF">
        <w:rPr>
          <w:b/>
          <w:bCs/>
          <w:lang w:val="en-SG"/>
        </w:rPr>
        <w:t>Echo State Networks (ESNs)</w:t>
      </w:r>
      <w:r w:rsidRPr="00F728EF">
        <w:rPr>
          <w:lang w:val="en-SG"/>
        </w:rPr>
        <w:t xml:space="preserve">, for forecasting crude oil prices. In </w:t>
      </w:r>
      <w:r w:rsidRPr="00F728EF">
        <w:rPr>
          <w:i/>
          <w:iCs/>
          <w:lang w:val="en-SG"/>
        </w:rPr>
        <w:t>“Forecasting Crude Oil Prices Using Reservoir Computing”</w:t>
      </w:r>
      <w:r w:rsidRPr="00F728EF">
        <w:rPr>
          <w:lang w:val="en-SG"/>
        </w:rPr>
        <w:t>, Kumar (2023) demonstrates that RC can outperform deep learning models like Long Short-Term Memory (LSTM) in both prediction accuracy and runtime. Unlike LSTM, which requires extensive training of recurrent connections, ESNs use a randomly initialized dynamic reservoir and train only the output weights—making them computationally efficient.</w:t>
      </w:r>
    </w:p>
    <w:p w14:paraId="3FCA0208" w14:textId="77777777" w:rsidR="00F728EF" w:rsidRPr="00F728EF" w:rsidRDefault="00F728EF" w:rsidP="00F728EF">
      <w:pPr>
        <w:rPr>
          <w:lang w:val="en-SG"/>
        </w:rPr>
      </w:pPr>
      <w:r w:rsidRPr="00F728EF">
        <w:rPr>
          <w:lang w:val="en-SG"/>
        </w:rPr>
        <w:t>The paper evaluates both models using a dataset of daily crude oil prices from 2010 to 2023. The RC model achieves a remarkably low mean absolute percentage error (MAPE) of 1.57%, significantly better than the LSTM's 27.69%. Moreover, the ESN's training time is only 1.1 seconds, compared to LSTM’s 423 seconds. These results underscore the potential of RC as a lightweight and effective solution for univariate financial time series forecasting.</w:t>
      </w:r>
    </w:p>
    <w:p w14:paraId="43BCB36A" w14:textId="77777777" w:rsidR="00F728EF" w:rsidRPr="00F728EF" w:rsidRDefault="00F728EF" w:rsidP="00F728EF">
      <w:pPr>
        <w:rPr>
          <w:lang w:val="en-SG"/>
        </w:rPr>
      </w:pPr>
      <w:r w:rsidRPr="00F728EF">
        <w:rPr>
          <w:lang w:val="en-SG"/>
        </w:rPr>
        <w:lastRenderedPageBreak/>
        <w:t>While RC models offer speed and accuracy, they are primarily suited to single-asset prediction tasks and may lack the flexibility of more complex models when dealing with multivariate or multimodal data. Nonetheless, they provide a strong baseline for environments requiring fast, interpretable, and resource-efficient models.</w:t>
      </w:r>
    </w:p>
    <w:p w14:paraId="09FEF39F" w14:textId="77777777" w:rsidR="00F728EF" w:rsidRPr="00F728EF" w:rsidRDefault="00F728EF" w:rsidP="00F728EF">
      <w:pPr>
        <w:rPr>
          <w:b/>
          <w:bCs/>
          <w:lang w:val="en-SG"/>
        </w:rPr>
      </w:pPr>
      <w:r w:rsidRPr="00F728EF">
        <w:rPr>
          <w:b/>
          <w:bCs/>
          <w:lang w:val="en-SG"/>
        </w:rPr>
        <w:t>Deep Reinforcement Learning in Trading</w:t>
      </w:r>
    </w:p>
    <w:p w14:paraId="14D4C40D" w14:textId="77777777" w:rsidR="00F728EF" w:rsidRPr="00F728EF" w:rsidRDefault="00F728EF" w:rsidP="00F728EF">
      <w:pPr>
        <w:rPr>
          <w:lang w:val="en-SG"/>
        </w:rPr>
      </w:pPr>
      <w:r w:rsidRPr="00F728EF">
        <w:rPr>
          <w:lang w:val="en-SG"/>
        </w:rPr>
        <w:t xml:space="preserve">While forecasting models focus on predicting future prices or movements, </w:t>
      </w:r>
      <w:r w:rsidRPr="00F728EF">
        <w:rPr>
          <w:b/>
          <w:bCs/>
          <w:lang w:val="en-SG"/>
        </w:rPr>
        <w:t>reinforcement learning (RL)</w:t>
      </w:r>
      <w:r w:rsidRPr="00F728EF">
        <w:rPr>
          <w:lang w:val="en-SG"/>
        </w:rPr>
        <w:t xml:space="preserve"> offers a more action-oriented framework—learning how to make decisions that maximize returns over time. In financial contexts, RL has been increasingly applied to </w:t>
      </w:r>
      <w:r w:rsidRPr="00F728EF">
        <w:rPr>
          <w:b/>
          <w:bCs/>
          <w:lang w:val="en-SG"/>
        </w:rPr>
        <w:t>portfolio optimization</w:t>
      </w:r>
      <w:r w:rsidRPr="00F728EF">
        <w:rPr>
          <w:lang w:val="en-SG"/>
        </w:rPr>
        <w:t xml:space="preserve">, </w:t>
      </w:r>
      <w:r w:rsidRPr="00F728EF">
        <w:rPr>
          <w:b/>
          <w:bCs/>
          <w:lang w:val="en-SG"/>
        </w:rPr>
        <w:t>asset allocation</w:t>
      </w:r>
      <w:r w:rsidRPr="00F728EF">
        <w:rPr>
          <w:lang w:val="en-SG"/>
        </w:rPr>
        <w:t xml:space="preserve">, and </w:t>
      </w:r>
      <w:r w:rsidRPr="00F728EF">
        <w:rPr>
          <w:b/>
          <w:bCs/>
          <w:lang w:val="en-SG"/>
        </w:rPr>
        <w:t>automated trading</w:t>
      </w:r>
      <w:r w:rsidRPr="00F728EF">
        <w:rPr>
          <w:lang w:val="en-SG"/>
        </w:rPr>
        <w:t>. Two prominent RL algorithms—</w:t>
      </w:r>
      <w:r w:rsidRPr="00F728EF">
        <w:rPr>
          <w:b/>
          <w:bCs/>
          <w:lang w:val="en-SG"/>
        </w:rPr>
        <w:t>TD3</w:t>
      </w:r>
      <w:r w:rsidRPr="00F728EF">
        <w:rPr>
          <w:lang w:val="en-SG"/>
        </w:rPr>
        <w:t xml:space="preserve"> and </w:t>
      </w:r>
      <w:r w:rsidRPr="00F728EF">
        <w:rPr>
          <w:b/>
          <w:bCs/>
          <w:lang w:val="en-SG"/>
        </w:rPr>
        <w:t>DDPG</w:t>
      </w:r>
      <w:r w:rsidRPr="00F728EF">
        <w:rPr>
          <w:lang w:val="en-SG"/>
        </w:rPr>
        <w:t xml:space="preserve">—are explored in the reviewed literature, offering complementary insights into practical </w:t>
      </w:r>
      <w:proofErr w:type="spellStart"/>
      <w:r w:rsidRPr="00F728EF">
        <w:rPr>
          <w:lang w:val="en-SG"/>
        </w:rPr>
        <w:t>FinRL</w:t>
      </w:r>
      <w:proofErr w:type="spellEnd"/>
      <w:r w:rsidRPr="00F728EF">
        <w:rPr>
          <w:lang w:val="en-SG"/>
        </w:rPr>
        <w:t xml:space="preserve"> applications.</w:t>
      </w:r>
    </w:p>
    <w:p w14:paraId="4171DD6C" w14:textId="77777777" w:rsidR="00F728EF" w:rsidRPr="00F728EF" w:rsidRDefault="00F728EF" w:rsidP="00F728EF">
      <w:pPr>
        <w:rPr>
          <w:b/>
          <w:bCs/>
          <w:lang w:val="en-SG"/>
        </w:rPr>
      </w:pPr>
      <w:r w:rsidRPr="00F728EF">
        <w:rPr>
          <w:b/>
          <w:bCs/>
          <w:lang w:val="en-SG"/>
        </w:rPr>
        <w:t>3.1 TD3 for Portfolio Optimization</w:t>
      </w:r>
    </w:p>
    <w:p w14:paraId="484842A3" w14:textId="77777777" w:rsidR="00F728EF" w:rsidRPr="00F728EF" w:rsidRDefault="00F728EF" w:rsidP="00F728EF">
      <w:pPr>
        <w:rPr>
          <w:lang w:val="en-SG"/>
        </w:rPr>
      </w:pPr>
      <w:r w:rsidRPr="00F728EF">
        <w:rPr>
          <w:lang w:val="en-SG"/>
        </w:rPr>
        <w:t xml:space="preserve">In </w:t>
      </w:r>
      <w:r w:rsidRPr="00F728EF">
        <w:rPr>
          <w:i/>
          <w:iCs/>
          <w:lang w:val="en-SG"/>
        </w:rPr>
        <w:t>“Deep Reinforcement Learning for Portfolio Selection”</w:t>
      </w:r>
      <w:r w:rsidRPr="00F728EF">
        <w:rPr>
          <w:lang w:val="en-SG"/>
        </w:rPr>
        <w:t xml:space="preserve">, Jiang et al. propose an enhanced TD3 (Twin Delayed Deep Deterministic Policy Gradient) model that incorporates investor-specific constraints, including </w:t>
      </w:r>
      <w:r w:rsidRPr="00F728EF">
        <w:rPr>
          <w:b/>
          <w:bCs/>
          <w:lang w:val="en-SG"/>
        </w:rPr>
        <w:t>risk aversion</w:t>
      </w:r>
      <w:r w:rsidRPr="00F728EF">
        <w:rPr>
          <w:lang w:val="en-SG"/>
        </w:rPr>
        <w:t xml:space="preserve"> and </w:t>
      </w:r>
      <w:r w:rsidRPr="00F728EF">
        <w:rPr>
          <w:b/>
          <w:bCs/>
          <w:lang w:val="en-SG"/>
        </w:rPr>
        <w:t>transaction costs</w:t>
      </w:r>
      <w:r w:rsidRPr="00F728EF">
        <w:rPr>
          <w:lang w:val="en-SG"/>
        </w:rPr>
        <w:t>. The agent is trained to optimize a utility function inspired by Markowitz’s mean-variance theory while interacting with a simulated market environment consisting of DJIA and S&amp;P100 stocks.</w:t>
      </w:r>
    </w:p>
    <w:p w14:paraId="17314F38" w14:textId="77777777" w:rsidR="00F728EF" w:rsidRPr="00F728EF" w:rsidRDefault="00F728EF" w:rsidP="00F728EF">
      <w:pPr>
        <w:rPr>
          <w:lang w:val="en-SG"/>
        </w:rPr>
      </w:pPr>
      <w:r w:rsidRPr="00F728EF">
        <w:rPr>
          <w:lang w:val="en-SG"/>
        </w:rPr>
        <w:t xml:space="preserve">Their empirical results demonstrate that the TD3 agent achieves </w:t>
      </w:r>
      <w:r w:rsidRPr="00F728EF">
        <w:rPr>
          <w:b/>
          <w:bCs/>
          <w:lang w:val="en-SG"/>
        </w:rPr>
        <w:t>annual returns of up to 42%</w:t>
      </w:r>
      <w:r w:rsidRPr="00F728EF">
        <w:rPr>
          <w:lang w:val="en-SG"/>
        </w:rPr>
        <w:t xml:space="preserve"> and </w:t>
      </w:r>
      <w:r w:rsidRPr="00F728EF">
        <w:rPr>
          <w:b/>
          <w:bCs/>
          <w:lang w:val="en-SG"/>
        </w:rPr>
        <w:t>Sharpe ratios exceeding 1.4</w:t>
      </w:r>
      <w:r w:rsidRPr="00F728EF">
        <w:rPr>
          <w:lang w:val="en-SG"/>
        </w:rPr>
        <w:t xml:space="preserve">, outperforming both traditional methods (e.g., min-variance portfolios) and other DRL baselines (PPO, DDPG). The model is particularly well-suited to </w:t>
      </w:r>
      <w:r w:rsidRPr="00F728EF">
        <w:rPr>
          <w:b/>
          <w:bCs/>
          <w:lang w:val="en-SG"/>
        </w:rPr>
        <w:t>high-dimensional portfolios</w:t>
      </w:r>
      <w:r w:rsidRPr="00F728EF">
        <w:rPr>
          <w:lang w:val="en-SG"/>
        </w:rPr>
        <w:t>, where traditional models struggle due to noise and complexity.</w:t>
      </w:r>
    </w:p>
    <w:p w14:paraId="59B8CF50" w14:textId="77777777" w:rsidR="00F728EF" w:rsidRPr="00F728EF" w:rsidRDefault="00F728EF" w:rsidP="00F728EF">
      <w:pPr>
        <w:rPr>
          <w:b/>
          <w:bCs/>
          <w:lang w:val="en-SG"/>
        </w:rPr>
      </w:pPr>
      <w:r w:rsidRPr="00F728EF">
        <w:rPr>
          <w:b/>
          <w:bCs/>
          <w:lang w:val="en-SG"/>
        </w:rPr>
        <w:t>3.2 DDPG for Stock Trading</w:t>
      </w:r>
    </w:p>
    <w:p w14:paraId="21F62434" w14:textId="77777777" w:rsidR="00F728EF" w:rsidRPr="00F728EF" w:rsidRDefault="00F728EF" w:rsidP="00F728EF">
      <w:pPr>
        <w:rPr>
          <w:lang w:val="en-SG"/>
        </w:rPr>
      </w:pPr>
      <w:r w:rsidRPr="00F728EF">
        <w:rPr>
          <w:lang w:val="en-SG"/>
        </w:rPr>
        <w:t xml:space="preserve">In a complementary study, Liu et al. present </w:t>
      </w:r>
      <w:r w:rsidRPr="00F728EF">
        <w:rPr>
          <w:i/>
          <w:iCs/>
          <w:lang w:val="en-SG"/>
        </w:rPr>
        <w:t>“Practical Deep Reinforcement Learning Approach for Stock Trading”</w:t>
      </w:r>
      <w:r w:rsidRPr="00F728EF">
        <w:rPr>
          <w:lang w:val="en-SG"/>
        </w:rPr>
        <w:t xml:space="preserve">, which employs DDPG (Deep Deterministic Policy Gradient) to train an agent that learns </w:t>
      </w:r>
      <w:r w:rsidRPr="00F728EF">
        <w:rPr>
          <w:b/>
          <w:bCs/>
          <w:lang w:val="en-SG"/>
        </w:rPr>
        <w:t>online</w:t>
      </w:r>
      <w:r w:rsidRPr="00F728EF">
        <w:rPr>
          <w:lang w:val="en-SG"/>
        </w:rPr>
        <w:t xml:space="preserve"> as it trades. The environment includes 30 DJIA stocks and spans a dataset from 2009 to 2018. The agent’s objective is to maximize cumulative portfolio value while navigating market dynamics.</w:t>
      </w:r>
    </w:p>
    <w:p w14:paraId="7AD7A731" w14:textId="77777777" w:rsidR="00F728EF" w:rsidRPr="00F728EF" w:rsidRDefault="00F728EF" w:rsidP="00F728EF">
      <w:pPr>
        <w:rPr>
          <w:lang w:val="en-SG"/>
        </w:rPr>
      </w:pPr>
      <w:r w:rsidRPr="00F728EF">
        <w:rPr>
          <w:lang w:val="en-SG"/>
        </w:rPr>
        <w:t xml:space="preserve">The DDPG-based agent significantly outperforms both the DJIA index and a min-variance benchmark, achieving an </w:t>
      </w:r>
      <w:r w:rsidRPr="00F728EF">
        <w:rPr>
          <w:b/>
          <w:bCs/>
          <w:lang w:val="en-SG"/>
        </w:rPr>
        <w:t>annualized return of 25.87%</w:t>
      </w:r>
      <w:r w:rsidRPr="00F728EF">
        <w:rPr>
          <w:lang w:val="en-SG"/>
        </w:rPr>
        <w:t xml:space="preserve"> and a </w:t>
      </w:r>
      <w:r w:rsidRPr="00F728EF">
        <w:rPr>
          <w:b/>
          <w:bCs/>
          <w:lang w:val="en-SG"/>
        </w:rPr>
        <w:t>Sharpe ratio of 1.79</w:t>
      </w:r>
      <w:r w:rsidRPr="00F728EF">
        <w:rPr>
          <w:lang w:val="en-SG"/>
        </w:rPr>
        <w:t xml:space="preserve">. The key advantage of DDPG lies in its ability to operate in </w:t>
      </w:r>
      <w:r w:rsidRPr="00F728EF">
        <w:rPr>
          <w:b/>
          <w:bCs/>
          <w:lang w:val="en-SG"/>
        </w:rPr>
        <w:t>continuous action spaces</w:t>
      </w:r>
      <w:r w:rsidRPr="00F728EF">
        <w:rPr>
          <w:lang w:val="en-SG"/>
        </w:rPr>
        <w:t>, allowing fine-grained control over position sizes in each asset.</w:t>
      </w:r>
    </w:p>
    <w:p w14:paraId="3E360DDE" w14:textId="77777777" w:rsidR="00F728EF" w:rsidRPr="00F728EF" w:rsidRDefault="00F728EF" w:rsidP="00F728EF">
      <w:r w:rsidRPr="00F728EF">
        <w:pict w14:anchorId="256E0D3F">
          <v:rect id="_x0000_i1031" style="width:0;height:1.5pt" o:hralign="center" o:hrstd="t" o:hr="t" fillcolor="#a0a0a0" stroked="f"/>
        </w:pict>
      </w:r>
    </w:p>
    <w:p w14:paraId="3ABEDC49" w14:textId="77777777" w:rsidR="00F728EF" w:rsidRDefault="00F728EF" w:rsidP="00F728EF">
      <w:pPr>
        <w:rPr>
          <w:lang w:val="en-SG"/>
        </w:rPr>
      </w:pPr>
      <w:r w:rsidRPr="00F728EF">
        <w:rPr>
          <w:lang w:val="en-SG"/>
        </w:rPr>
        <w:t xml:space="preserve">Together, these studies illustrate the growing maturity of deep RL in financial applications. While DDPG is effective for single-agent trading scenarios, TD3 excels in constrained, risk-aware portfolio management. Both models highlight the importance of </w:t>
      </w:r>
      <w:r w:rsidRPr="00F728EF">
        <w:rPr>
          <w:b/>
          <w:bCs/>
          <w:lang w:val="en-SG"/>
        </w:rPr>
        <w:t>reward design</w:t>
      </w:r>
      <w:r w:rsidRPr="00F728EF">
        <w:rPr>
          <w:lang w:val="en-SG"/>
        </w:rPr>
        <w:t xml:space="preserve">, </w:t>
      </w:r>
      <w:r w:rsidRPr="00F728EF">
        <w:rPr>
          <w:b/>
          <w:bCs/>
          <w:lang w:val="en-SG"/>
        </w:rPr>
        <w:t>training stability</w:t>
      </w:r>
      <w:r w:rsidRPr="00F728EF">
        <w:rPr>
          <w:lang w:val="en-SG"/>
        </w:rPr>
        <w:t xml:space="preserve">, and </w:t>
      </w:r>
      <w:r w:rsidRPr="00F728EF">
        <w:rPr>
          <w:b/>
          <w:bCs/>
          <w:lang w:val="en-SG"/>
        </w:rPr>
        <w:t>realistic environment simulation</w:t>
      </w:r>
      <w:r w:rsidRPr="00F728EF">
        <w:rPr>
          <w:lang w:val="en-SG"/>
        </w:rPr>
        <w:t xml:space="preserve"> in the successful deployment of RL agents.</w:t>
      </w:r>
    </w:p>
    <w:p w14:paraId="597E79C2" w14:textId="77777777" w:rsidR="00F728EF" w:rsidRPr="00F728EF" w:rsidRDefault="00F728EF" w:rsidP="00F728EF">
      <w:pPr>
        <w:rPr>
          <w:b/>
          <w:bCs/>
        </w:rPr>
      </w:pPr>
      <w:r w:rsidRPr="00F728EF">
        <w:rPr>
          <w:b/>
          <w:bCs/>
        </w:rPr>
        <w:lastRenderedPageBreak/>
        <w:t>Benchmarking and Data Environments</w:t>
      </w:r>
    </w:p>
    <w:p w14:paraId="6411DB9F" w14:textId="77777777" w:rsidR="00F728EF" w:rsidRPr="00F728EF" w:rsidRDefault="00F728EF" w:rsidP="00F728EF">
      <w:r w:rsidRPr="00F728EF">
        <w:pict w14:anchorId="255DF64F">
          <v:rect id="_x0000_i1045" style="width:0;height:1.5pt" o:hralign="center" o:hrstd="t" o:hr="t" fillcolor="#a0a0a0" stroked="f"/>
        </w:pict>
      </w:r>
    </w:p>
    <w:p w14:paraId="1C233BEE" w14:textId="77777777" w:rsidR="00F728EF" w:rsidRPr="00F728EF" w:rsidRDefault="00F728EF" w:rsidP="00F728EF">
      <w:pPr>
        <w:rPr>
          <w:b/>
          <w:bCs/>
          <w:lang w:val="en-SG"/>
        </w:rPr>
      </w:pPr>
      <w:r w:rsidRPr="00F728EF">
        <w:rPr>
          <w:b/>
          <w:bCs/>
          <w:lang w:val="en-SG"/>
        </w:rPr>
        <w:t>Draft – Benchmarking and Data Environments</w:t>
      </w:r>
    </w:p>
    <w:p w14:paraId="0EBED2C9" w14:textId="77777777" w:rsidR="00F728EF" w:rsidRPr="00F728EF" w:rsidRDefault="00F728EF" w:rsidP="00F728EF">
      <w:pPr>
        <w:rPr>
          <w:lang w:val="en-SG"/>
        </w:rPr>
      </w:pPr>
      <w:r w:rsidRPr="00F728EF">
        <w:rPr>
          <w:lang w:val="en-SG"/>
        </w:rPr>
        <w:t>While algorithmic advances in financial reinforcement learning (</w:t>
      </w:r>
      <w:proofErr w:type="spellStart"/>
      <w:r w:rsidRPr="00F728EF">
        <w:rPr>
          <w:lang w:val="en-SG"/>
        </w:rPr>
        <w:t>FinRL</w:t>
      </w:r>
      <w:proofErr w:type="spellEnd"/>
      <w:r w:rsidRPr="00F728EF">
        <w:rPr>
          <w:lang w:val="en-SG"/>
        </w:rPr>
        <w:t xml:space="preserve">) are promising, they are often evaluated on non-standard datasets or with custom environments, making </w:t>
      </w:r>
      <w:r w:rsidRPr="00F728EF">
        <w:rPr>
          <w:b/>
          <w:bCs/>
          <w:lang w:val="en-SG"/>
        </w:rPr>
        <w:t>comparability and reproducibility</w:t>
      </w:r>
      <w:r w:rsidRPr="00F728EF">
        <w:rPr>
          <w:lang w:val="en-SG"/>
        </w:rPr>
        <w:t xml:space="preserve"> difficult. Two recent contributions address this gap by providing </w:t>
      </w:r>
      <w:r w:rsidRPr="00F728EF">
        <w:rPr>
          <w:b/>
          <w:bCs/>
          <w:lang w:val="en-SG"/>
        </w:rPr>
        <w:t>benchmarking platforms</w:t>
      </w:r>
      <w:r w:rsidRPr="00F728EF">
        <w:rPr>
          <w:lang w:val="en-SG"/>
        </w:rPr>
        <w:t xml:space="preserve"> and </w:t>
      </w:r>
      <w:r w:rsidRPr="00F728EF">
        <w:rPr>
          <w:b/>
          <w:bCs/>
          <w:lang w:val="en-SG"/>
        </w:rPr>
        <w:t>dynamic data pipelines</w:t>
      </w:r>
      <w:r w:rsidRPr="00F728EF">
        <w:rPr>
          <w:lang w:val="en-SG"/>
        </w:rPr>
        <w:t xml:space="preserve"> that enable realistic and standardized evaluation of </w:t>
      </w:r>
      <w:proofErr w:type="spellStart"/>
      <w:r w:rsidRPr="00F728EF">
        <w:rPr>
          <w:lang w:val="en-SG"/>
        </w:rPr>
        <w:t>FinRL</w:t>
      </w:r>
      <w:proofErr w:type="spellEnd"/>
      <w:r w:rsidRPr="00F728EF">
        <w:rPr>
          <w:lang w:val="en-SG"/>
        </w:rPr>
        <w:t xml:space="preserve"> models.</w:t>
      </w:r>
    </w:p>
    <w:p w14:paraId="49A91AC6" w14:textId="77777777" w:rsidR="00F728EF" w:rsidRPr="00F728EF" w:rsidRDefault="00F728EF" w:rsidP="00F728EF">
      <w:pPr>
        <w:rPr>
          <w:b/>
          <w:bCs/>
          <w:lang w:val="en-SG"/>
        </w:rPr>
      </w:pPr>
      <w:r w:rsidRPr="00F728EF">
        <w:rPr>
          <w:b/>
          <w:bCs/>
          <w:lang w:val="en-SG"/>
        </w:rPr>
        <w:t xml:space="preserve">4.1 </w:t>
      </w:r>
      <w:proofErr w:type="spellStart"/>
      <w:r w:rsidRPr="00F728EF">
        <w:rPr>
          <w:b/>
          <w:bCs/>
          <w:lang w:val="en-SG"/>
        </w:rPr>
        <w:t>FinRL</w:t>
      </w:r>
      <w:proofErr w:type="spellEnd"/>
      <w:r w:rsidRPr="00F728EF">
        <w:rPr>
          <w:b/>
          <w:bCs/>
          <w:lang w:val="en-SG"/>
        </w:rPr>
        <w:t>-Meta: Modular Environments and Benchmarks</w:t>
      </w:r>
    </w:p>
    <w:p w14:paraId="7774E8C8" w14:textId="77777777" w:rsidR="00F728EF" w:rsidRPr="00F728EF" w:rsidRDefault="00F728EF" w:rsidP="00F728EF">
      <w:pPr>
        <w:rPr>
          <w:lang w:val="en-SG"/>
        </w:rPr>
      </w:pPr>
      <w:r w:rsidRPr="00F728EF">
        <w:rPr>
          <w:lang w:val="en-SG"/>
        </w:rPr>
        <w:t xml:space="preserve">In </w:t>
      </w:r>
      <w:r w:rsidRPr="00F728EF">
        <w:rPr>
          <w:i/>
          <w:iCs/>
          <w:lang w:val="en-SG"/>
        </w:rPr>
        <w:t>“</w:t>
      </w:r>
      <w:proofErr w:type="spellStart"/>
      <w:r w:rsidRPr="00F728EF">
        <w:rPr>
          <w:i/>
          <w:iCs/>
          <w:lang w:val="en-SG"/>
        </w:rPr>
        <w:t>FinRL</w:t>
      </w:r>
      <w:proofErr w:type="spellEnd"/>
      <w:r w:rsidRPr="00F728EF">
        <w:rPr>
          <w:i/>
          <w:iCs/>
          <w:lang w:val="en-SG"/>
        </w:rPr>
        <w:t>-Meta: Market Environments and Benchmarks for Data-Driven Financial Reinforcement Learning”</w:t>
      </w:r>
      <w:r w:rsidRPr="00F728EF">
        <w:rPr>
          <w:lang w:val="en-SG"/>
        </w:rPr>
        <w:t xml:space="preserve">, Liu et al. introduce a comprehensive </w:t>
      </w:r>
      <w:proofErr w:type="spellStart"/>
      <w:r w:rsidRPr="00F728EF">
        <w:rPr>
          <w:b/>
          <w:bCs/>
          <w:lang w:val="en-SG"/>
        </w:rPr>
        <w:t>RLOps</w:t>
      </w:r>
      <w:proofErr w:type="spellEnd"/>
      <w:r w:rsidRPr="00F728EF">
        <w:rPr>
          <w:b/>
          <w:bCs/>
          <w:lang w:val="en-SG"/>
        </w:rPr>
        <w:t xml:space="preserve"> platform</w:t>
      </w:r>
      <w:r w:rsidRPr="00F728EF">
        <w:rPr>
          <w:lang w:val="en-SG"/>
        </w:rPr>
        <w:t xml:space="preserve"> that automates the end-to-end process of building and evaluating </w:t>
      </w:r>
      <w:proofErr w:type="spellStart"/>
      <w:r w:rsidRPr="00F728EF">
        <w:rPr>
          <w:lang w:val="en-SG"/>
        </w:rPr>
        <w:t>FinRL</w:t>
      </w:r>
      <w:proofErr w:type="spellEnd"/>
      <w:r w:rsidRPr="00F728EF">
        <w:rPr>
          <w:lang w:val="en-SG"/>
        </w:rPr>
        <w:t xml:space="preserve"> agents. </w:t>
      </w:r>
      <w:proofErr w:type="spellStart"/>
      <w:r w:rsidRPr="00F728EF">
        <w:rPr>
          <w:lang w:val="en-SG"/>
        </w:rPr>
        <w:t>FinRL</w:t>
      </w:r>
      <w:proofErr w:type="spellEnd"/>
      <w:r w:rsidRPr="00F728EF">
        <w:rPr>
          <w:lang w:val="en-SG"/>
        </w:rPr>
        <w:t xml:space="preserve">-Meta supports a wide range of financial tasks—stock trading, portfolio management, multi-agent liquidation—implemented as </w:t>
      </w:r>
      <w:r w:rsidRPr="00F728EF">
        <w:rPr>
          <w:b/>
          <w:bCs/>
          <w:lang w:val="en-SG"/>
        </w:rPr>
        <w:t>OpenAI Gym-style environments</w:t>
      </w:r>
      <w:r w:rsidRPr="00F728EF">
        <w:rPr>
          <w:lang w:val="en-SG"/>
        </w:rPr>
        <w:t>.</w:t>
      </w:r>
    </w:p>
    <w:p w14:paraId="5B132C1A" w14:textId="77777777" w:rsidR="00F728EF" w:rsidRPr="00F728EF" w:rsidRDefault="00F728EF" w:rsidP="00F728EF">
      <w:pPr>
        <w:rPr>
          <w:lang w:val="en-SG"/>
        </w:rPr>
      </w:pPr>
      <w:proofErr w:type="spellStart"/>
      <w:r w:rsidRPr="00F728EF">
        <w:rPr>
          <w:lang w:val="en-SG"/>
        </w:rPr>
        <w:t>FinRL</w:t>
      </w:r>
      <w:proofErr w:type="spellEnd"/>
      <w:r w:rsidRPr="00F728EF">
        <w:rPr>
          <w:lang w:val="en-SG"/>
        </w:rPr>
        <w:t xml:space="preserve">-Meta leverages the </w:t>
      </w:r>
      <w:proofErr w:type="spellStart"/>
      <w:r w:rsidRPr="00F728EF">
        <w:rPr>
          <w:b/>
          <w:bCs/>
          <w:lang w:val="en-SG"/>
        </w:rPr>
        <w:t>DataOps</w:t>
      </w:r>
      <w:proofErr w:type="spellEnd"/>
      <w:r w:rsidRPr="00F728EF">
        <w:rPr>
          <w:b/>
          <w:bCs/>
          <w:lang w:val="en-SG"/>
        </w:rPr>
        <w:t xml:space="preserve"> paradigm</w:t>
      </w:r>
      <w:r w:rsidRPr="00F728EF">
        <w:rPr>
          <w:lang w:val="en-SG"/>
        </w:rPr>
        <w:t xml:space="preserve"> to automate data ingestion, cleaning, feature engineering, and simulation setup. It supports data from diverse markets (stocks, ETFs, crypto, forex) and integrates </w:t>
      </w:r>
      <w:r w:rsidRPr="00F728EF">
        <w:rPr>
          <w:b/>
          <w:bCs/>
          <w:lang w:val="en-SG"/>
        </w:rPr>
        <w:t>technical, fundamental, sentiment</w:t>
      </w:r>
      <w:r w:rsidRPr="00F728EF">
        <w:rPr>
          <w:lang w:val="en-SG"/>
        </w:rPr>
        <w:t xml:space="preserve">, and </w:t>
      </w:r>
      <w:r w:rsidRPr="00F728EF">
        <w:rPr>
          <w:b/>
          <w:bCs/>
          <w:lang w:val="en-SG"/>
        </w:rPr>
        <w:t>alternative</w:t>
      </w:r>
      <w:r w:rsidRPr="00F728EF">
        <w:rPr>
          <w:lang w:val="en-SG"/>
        </w:rPr>
        <w:t xml:space="preserve"> features (e.g., ESG, patents, social media).</w:t>
      </w:r>
    </w:p>
    <w:p w14:paraId="098FCD92" w14:textId="77777777" w:rsidR="00F728EF" w:rsidRPr="00F728EF" w:rsidRDefault="00F728EF" w:rsidP="00F728EF">
      <w:pPr>
        <w:rPr>
          <w:lang w:val="en-SG"/>
        </w:rPr>
      </w:pPr>
      <w:r w:rsidRPr="00F728EF">
        <w:rPr>
          <w:lang w:val="en-SG"/>
        </w:rPr>
        <w:t xml:space="preserve">Importantly, the platform reproduces benchmarks for common DRL algorithms such as </w:t>
      </w:r>
      <w:r w:rsidRPr="00F728EF">
        <w:rPr>
          <w:b/>
          <w:bCs/>
          <w:lang w:val="en-SG"/>
        </w:rPr>
        <w:t>DDPG, PPO, and A2C</w:t>
      </w:r>
      <w:r w:rsidRPr="00F728EF">
        <w:rPr>
          <w:lang w:val="en-SG"/>
        </w:rPr>
        <w:t xml:space="preserve">, providing reproducible baselines for academic and industrial research. Ensemble strategies further enhance performance, with ensemble-PPO+A2C+DDPG achieving a </w:t>
      </w:r>
      <w:r w:rsidRPr="00F728EF">
        <w:rPr>
          <w:b/>
          <w:bCs/>
          <w:lang w:val="en-SG"/>
        </w:rPr>
        <w:t>Sharpe ratio of 1.53</w:t>
      </w:r>
      <w:r w:rsidRPr="00F728EF">
        <w:rPr>
          <w:lang w:val="en-SG"/>
        </w:rPr>
        <w:t xml:space="preserve"> and outperforming single agents and traditional indices.</w:t>
      </w:r>
    </w:p>
    <w:p w14:paraId="6CCE11A2" w14:textId="77777777" w:rsidR="00F728EF" w:rsidRPr="00F728EF" w:rsidRDefault="00F728EF" w:rsidP="00F728EF">
      <w:pPr>
        <w:rPr>
          <w:b/>
          <w:bCs/>
          <w:lang w:val="en-SG"/>
        </w:rPr>
      </w:pPr>
      <w:r w:rsidRPr="00F728EF">
        <w:rPr>
          <w:b/>
          <w:bCs/>
          <w:lang w:val="en-SG"/>
        </w:rPr>
        <w:t xml:space="preserve">4.2 Dynamic Datasets for Continual </w:t>
      </w:r>
      <w:proofErr w:type="spellStart"/>
      <w:r w:rsidRPr="00F728EF">
        <w:rPr>
          <w:b/>
          <w:bCs/>
          <w:lang w:val="en-SG"/>
        </w:rPr>
        <w:t>FinRL</w:t>
      </w:r>
      <w:proofErr w:type="spellEnd"/>
      <w:r w:rsidRPr="00F728EF">
        <w:rPr>
          <w:b/>
          <w:bCs/>
          <w:lang w:val="en-SG"/>
        </w:rPr>
        <w:t xml:space="preserve"> Training</w:t>
      </w:r>
    </w:p>
    <w:p w14:paraId="38876B83" w14:textId="77777777" w:rsidR="00F728EF" w:rsidRPr="00F728EF" w:rsidRDefault="00F728EF" w:rsidP="00F728EF">
      <w:pPr>
        <w:rPr>
          <w:lang w:val="en-SG"/>
        </w:rPr>
      </w:pPr>
      <w:r w:rsidRPr="00F728EF">
        <w:rPr>
          <w:lang w:val="en-SG"/>
        </w:rPr>
        <w:t xml:space="preserve">Extending </w:t>
      </w:r>
      <w:proofErr w:type="spellStart"/>
      <w:r w:rsidRPr="00F728EF">
        <w:rPr>
          <w:lang w:val="en-SG"/>
        </w:rPr>
        <w:t>FinRL</w:t>
      </w:r>
      <w:proofErr w:type="spellEnd"/>
      <w:r w:rsidRPr="00F728EF">
        <w:rPr>
          <w:lang w:val="en-SG"/>
        </w:rPr>
        <w:t xml:space="preserve">-Meta, </w:t>
      </w:r>
      <w:r w:rsidRPr="00F728EF">
        <w:rPr>
          <w:i/>
          <w:iCs/>
          <w:lang w:val="en-SG"/>
        </w:rPr>
        <w:t>“Dynamic Datasets and Market Environments for Financial Reinforcement Learning”</w:t>
      </w:r>
      <w:r w:rsidRPr="00F728EF">
        <w:rPr>
          <w:lang w:val="en-SG"/>
        </w:rPr>
        <w:t xml:space="preserve"> addresses the </w:t>
      </w:r>
      <w:r w:rsidRPr="00F728EF">
        <w:rPr>
          <w:b/>
          <w:bCs/>
          <w:lang w:val="en-SG"/>
        </w:rPr>
        <w:t>static data limitation</w:t>
      </w:r>
      <w:r w:rsidRPr="00F728EF">
        <w:rPr>
          <w:lang w:val="en-SG"/>
        </w:rPr>
        <w:t xml:space="preserve"> in RL training. Static datasets can lead to overfitting and poor generalization. This work proposes a </w:t>
      </w:r>
      <w:r w:rsidRPr="00F728EF">
        <w:rPr>
          <w:b/>
          <w:bCs/>
          <w:lang w:val="en-SG"/>
        </w:rPr>
        <w:t>rolling-window training-testing-trading pipeline</w:t>
      </w:r>
      <w:r w:rsidRPr="00F728EF">
        <w:rPr>
          <w:lang w:val="en-SG"/>
        </w:rPr>
        <w:t xml:space="preserve"> that allows agents to continuously learn and adapt as new data arrives.</w:t>
      </w:r>
    </w:p>
    <w:p w14:paraId="3E345D94" w14:textId="77777777" w:rsidR="00F728EF" w:rsidRPr="00F728EF" w:rsidRDefault="00F728EF" w:rsidP="00F728EF">
      <w:pPr>
        <w:rPr>
          <w:lang w:val="en-SG"/>
        </w:rPr>
      </w:pPr>
      <w:r w:rsidRPr="00F728EF">
        <w:rPr>
          <w:lang w:val="en-SG"/>
        </w:rPr>
        <w:t xml:space="preserve">The framework supports </w:t>
      </w:r>
      <w:r w:rsidRPr="00F728EF">
        <w:rPr>
          <w:b/>
          <w:bCs/>
          <w:lang w:val="en-SG"/>
        </w:rPr>
        <w:t>real-time data ingestion</w:t>
      </w:r>
      <w:r w:rsidRPr="00F728EF">
        <w:rPr>
          <w:lang w:val="en-SG"/>
        </w:rPr>
        <w:t xml:space="preserve"> from 30+ financial sources and is compatible with major RL libraries (Stable-Baselines3, </w:t>
      </w:r>
      <w:proofErr w:type="spellStart"/>
      <w:r w:rsidRPr="00F728EF">
        <w:rPr>
          <w:lang w:val="en-SG"/>
        </w:rPr>
        <w:t>RLlib</w:t>
      </w:r>
      <w:proofErr w:type="spellEnd"/>
      <w:r w:rsidRPr="00F728EF">
        <w:rPr>
          <w:lang w:val="en-SG"/>
        </w:rPr>
        <w:t xml:space="preserve">, </w:t>
      </w:r>
      <w:proofErr w:type="spellStart"/>
      <w:r w:rsidRPr="00F728EF">
        <w:rPr>
          <w:lang w:val="en-SG"/>
        </w:rPr>
        <w:t>ElegantRL</w:t>
      </w:r>
      <w:proofErr w:type="spellEnd"/>
      <w:r w:rsidRPr="00F728EF">
        <w:rPr>
          <w:lang w:val="en-SG"/>
        </w:rPr>
        <w:t xml:space="preserve">). It also includes </w:t>
      </w:r>
      <w:r w:rsidRPr="00F728EF">
        <w:rPr>
          <w:b/>
          <w:bCs/>
          <w:lang w:val="en-SG"/>
        </w:rPr>
        <w:t>minute-level paper trading</w:t>
      </w:r>
      <w:r w:rsidRPr="00F728EF">
        <w:rPr>
          <w:lang w:val="en-SG"/>
        </w:rPr>
        <w:t xml:space="preserve"> through integration with brokers like Alpaca.</w:t>
      </w:r>
    </w:p>
    <w:p w14:paraId="79F6BA33" w14:textId="77777777" w:rsidR="00F728EF" w:rsidRPr="00F728EF" w:rsidRDefault="00F728EF" w:rsidP="00F728EF">
      <w:pPr>
        <w:rPr>
          <w:lang w:val="en-SG"/>
        </w:rPr>
      </w:pPr>
      <w:r w:rsidRPr="00F728EF">
        <w:rPr>
          <w:lang w:val="en-SG"/>
        </w:rPr>
        <w:t xml:space="preserve">The dynamic pipeline enhances realism, reduces survivorship bias, and supports </w:t>
      </w:r>
      <w:r w:rsidRPr="00F728EF">
        <w:rPr>
          <w:b/>
          <w:bCs/>
          <w:lang w:val="en-SG"/>
        </w:rPr>
        <w:t>curriculum learning</w:t>
      </w:r>
      <w:r w:rsidRPr="00F728EF">
        <w:rPr>
          <w:lang w:val="en-SG"/>
        </w:rPr>
        <w:t>—gradually increasing task complexity to improve model generalization. The use of ensemble agents in this framework consistently outperforms single-policy models and traditional baselines.</w:t>
      </w:r>
    </w:p>
    <w:p w14:paraId="095222A7" w14:textId="77777777" w:rsidR="00F728EF" w:rsidRPr="00F728EF" w:rsidRDefault="00F728EF" w:rsidP="00F728EF">
      <w:r w:rsidRPr="00F728EF">
        <w:pict w14:anchorId="20BEF9B6">
          <v:rect id="_x0000_i1046" style="width:0;height:1.5pt" o:hralign="center" o:hrstd="t" o:hr="t" fillcolor="#a0a0a0" stroked="f"/>
        </w:pict>
      </w:r>
    </w:p>
    <w:p w14:paraId="2F081857" w14:textId="77777777" w:rsidR="00F728EF" w:rsidRPr="00F728EF" w:rsidRDefault="00F728EF" w:rsidP="00F728EF">
      <w:pPr>
        <w:rPr>
          <w:lang w:val="en-SG"/>
        </w:rPr>
      </w:pPr>
      <w:r w:rsidRPr="00F728EF">
        <w:rPr>
          <w:lang w:val="en-SG"/>
        </w:rPr>
        <w:lastRenderedPageBreak/>
        <w:t xml:space="preserve">Together, these two works signal a shift from isolated model development toward </w:t>
      </w:r>
      <w:r w:rsidRPr="00F728EF">
        <w:rPr>
          <w:b/>
          <w:bCs/>
          <w:lang w:val="en-SG"/>
        </w:rPr>
        <w:t>system-level thinking</w:t>
      </w:r>
      <w:r w:rsidRPr="00F728EF">
        <w:rPr>
          <w:lang w:val="en-SG"/>
        </w:rPr>
        <w:t xml:space="preserve"> in </w:t>
      </w:r>
      <w:proofErr w:type="spellStart"/>
      <w:r w:rsidRPr="00F728EF">
        <w:rPr>
          <w:lang w:val="en-SG"/>
        </w:rPr>
        <w:t>FinRL</w:t>
      </w:r>
      <w:proofErr w:type="spellEnd"/>
      <w:r w:rsidRPr="00F728EF">
        <w:rPr>
          <w:lang w:val="en-SG"/>
        </w:rPr>
        <w:t>: robust pipelines, standardized benchmarks, and real-world-ready infrastructure. They are essential for bridging the simulation-to-reality gap in financial AI research.</w:t>
      </w:r>
    </w:p>
    <w:p w14:paraId="11844C9E" w14:textId="77777777" w:rsidR="00F728EF" w:rsidRPr="00F728EF" w:rsidRDefault="00F728EF" w:rsidP="00F728EF">
      <w:pPr>
        <w:rPr>
          <w:b/>
          <w:bCs/>
          <w:lang w:val="en-SG"/>
        </w:rPr>
      </w:pPr>
      <w:r w:rsidRPr="00F728EF">
        <w:rPr>
          <w:b/>
          <w:bCs/>
          <w:lang w:val="en-SG"/>
        </w:rPr>
        <w:t>Multimodal Learning for Movement Prediction</w:t>
      </w:r>
    </w:p>
    <w:p w14:paraId="1B7BFF6D" w14:textId="77777777" w:rsidR="00F728EF" w:rsidRPr="00F728EF" w:rsidRDefault="00F728EF" w:rsidP="00F728EF">
      <w:pPr>
        <w:rPr>
          <w:lang w:val="en-SG"/>
        </w:rPr>
      </w:pPr>
      <w:r w:rsidRPr="00F728EF">
        <w:rPr>
          <w:lang w:val="en-SG"/>
        </w:rPr>
        <w:t xml:space="preserve">In financial markets, asset movements are often influenced by </w:t>
      </w:r>
      <w:r w:rsidRPr="00F728EF">
        <w:rPr>
          <w:b/>
          <w:bCs/>
          <w:lang w:val="en-SG"/>
        </w:rPr>
        <w:t>unstructured external signals</w:t>
      </w:r>
      <w:r w:rsidRPr="00F728EF">
        <w:rPr>
          <w:lang w:val="en-SG"/>
        </w:rPr>
        <w:t xml:space="preserve">—such as breaking news, investor sentiment, and public discussions on social media. While price-based models capture historical trends, they often miss real-time reactions to external events. To address this, researchers have turned to </w:t>
      </w:r>
      <w:r w:rsidRPr="00F728EF">
        <w:rPr>
          <w:b/>
          <w:bCs/>
          <w:lang w:val="en-SG"/>
        </w:rPr>
        <w:t>multimodal learning</w:t>
      </w:r>
      <w:r w:rsidRPr="00F728EF">
        <w:rPr>
          <w:lang w:val="en-SG"/>
        </w:rPr>
        <w:t>, integrating textual and numerical data for improved predictive power.</w:t>
      </w:r>
    </w:p>
    <w:p w14:paraId="7F02AAA5" w14:textId="77777777" w:rsidR="00F728EF" w:rsidRPr="00F728EF" w:rsidRDefault="00F728EF" w:rsidP="00F728EF">
      <w:pPr>
        <w:rPr>
          <w:lang w:val="en-SG"/>
        </w:rPr>
      </w:pPr>
      <w:r w:rsidRPr="00F728EF">
        <w:rPr>
          <w:lang w:val="en-SG"/>
        </w:rPr>
        <w:t xml:space="preserve">A pioneering effort in this domain is </w:t>
      </w:r>
      <w:r w:rsidRPr="00F728EF">
        <w:rPr>
          <w:i/>
          <w:iCs/>
          <w:lang w:val="en-SG"/>
        </w:rPr>
        <w:t>“Stock Movement Prediction from Tweets and Historical Prices”</w:t>
      </w:r>
      <w:r w:rsidRPr="00F728EF">
        <w:rPr>
          <w:lang w:val="en-SG"/>
        </w:rPr>
        <w:t xml:space="preserve"> by Xu and Cohen, where the authors introduce </w:t>
      </w:r>
      <w:proofErr w:type="spellStart"/>
      <w:r w:rsidRPr="00F728EF">
        <w:rPr>
          <w:b/>
          <w:bCs/>
          <w:lang w:val="en-SG"/>
        </w:rPr>
        <w:t>StockNet</w:t>
      </w:r>
      <w:proofErr w:type="spellEnd"/>
      <w:r w:rsidRPr="00F728EF">
        <w:rPr>
          <w:lang w:val="en-SG"/>
        </w:rPr>
        <w:t xml:space="preserve">, a deep </w:t>
      </w:r>
      <w:r w:rsidRPr="00F728EF">
        <w:rPr>
          <w:b/>
          <w:bCs/>
          <w:lang w:val="en-SG"/>
        </w:rPr>
        <w:t>variational generative model</w:t>
      </w:r>
      <w:r w:rsidRPr="00F728EF">
        <w:rPr>
          <w:lang w:val="en-SG"/>
        </w:rPr>
        <w:t xml:space="preserve"> that fuses </w:t>
      </w:r>
      <w:r w:rsidRPr="00F728EF">
        <w:rPr>
          <w:b/>
          <w:bCs/>
          <w:lang w:val="en-SG"/>
        </w:rPr>
        <w:t>tweets and historical price data</w:t>
      </w:r>
      <w:r w:rsidRPr="00F728EF">
        <w:rPr>
          <w:lang w:val="en-SG"/>
        </w:rPr>
        <w:t xml:space="preserve"> to predict binary stock movements (up/down).</w:t>
      </w:r>
    </w:p>
    <w:p w14:paraId="24598909" w14:textId="77777777" w:rsidR="00F728EF" w:rsidRPr="00F728EF" w:rsidRDefault="00F728EF" w:rsidP="00F728EF">
      <w:r w:rsidRPr="00F728EF">
        <w:rPr>
          <w:lang w:val="en-SG"/>
        </w:rPr>
        <w:t xml:space="preserve">Unlike traditional discriminative approaches, </w:t>
      </w:r>
      <w:proofErr w:type="spellStart"/>
      <w:r w:rsidRPr="00F728EF">
        <w:rPr>
          <w:lang w:val="en-SG"/>
        </w:rPr>
        <w:t>StockNet</w:t>
      </w:r>
      <w:proofErr w:type="spellEnd"/>
      <w:r w:rsidRPr="00F728EF">
        <w:rPr>
          <w:lang w:val="en-SG"/>
        </w:rPr>
        <w:t xml:space="preserve"> models the </w:t>
      </w:r>
      <w:r w:rsidRPr="00F728EF">
        <w:rPr>
          <w:b/>
          <w:bCs/>
          <w:lang w:val="en-SG"/>
        </w:rPr>
        <w:t>latent market dynamics</w:t>
      </w:r>
      <w:r w:rsidRPr="00F728EF">
        <w:rPr>
          <w:lang w:val="en-SG"/>
        </w:rPr>
        <w:t xml:space="preserve"> using </w:t>
      </w:r>
      <w:r w:rsidRPr="00F728EF">
        <w:rPr>
          <w:b/>
          <w:bCs/>
          <w:lang w:val="en-SG"/>
        </w:rPr>
        <w:t>recurrent, continuous latent variables</w:t>
      </w:r>
      <w:r w:rsidRPr="00F728EF">
        <w:rPr>
          <w:lang w:val="en-SG"/>
        </w:rPr>
        <w:t xml:space="preserve"> and trains them using </w:t>
      </w:r>
      <w:r w:rsidRPr="00F728EF">
        <w:rPr>
          <w:b/>
          <w:bCs/>
          <w:lang w:val="en-SG"/>
        </w:rPr>
        <w:t>variational inference</w:t>
      </w:r>
      <w:r w:rsidRPr="00F728EF">
        <w:rPr>
          <w:lang w:val="en-SG"/>
        </w:rPr>
        <w:t xml:space="preserve">. </w:t>
      </w:r>
      <w:r w:rsidRPr="00F728EF">
        <w:t>The model includes three major components:</w:t>
      </w:r>
    </w:p>
    <w:p w14:paraId="19EAD2F2" w14:textId="77777777" w:rsidR="00F728EF" w:rsidRPr="00F728EF" w:rsidRDefault="00F728EF" w:rsidP="00F728EF">
      <w:pPr>
        <w:numPr>
          <w:ilvl w:val="0"/>
          <w:numId w:val="2"/>
        </w:numPr>
        <w:rPr>
          <w:lang w:val="en-SG"/>
        </w:rPr>
      </w:pPr>
      <w:r w:rsidRPr="00F728EF">
        <w:rPr>
          <w:lang w:val="en-SG"/>
        </w:rPr>
        <w:t xml:space="preserve">A </w:t>
      </w:r>
      <w:r w:rsidRPr="00F728EF">
        <w:rPr>
          <w:b/>
          <w:bCs/>
          <w:lang w:val="en-SG"/>
        </w:rPr>
        <w:t>Market Information Encoder</w:t>
      </w:r>
      <w:r w:rsidRPr="00F728EF">
        <w:rPr>
          <w:lang w:val="en-SG"/>
        </w:rPr>
        <w:t xml:space="preserve"> that processes tweet embeddings and price changes,</w:t>
      </w:r>
    </w:p>
    <w:p w14:paraId="60AB5BFD" w14:textId="77777777" w:rsidR="00F728EF" w:rsidRPr="00F728EF" w:rsidRDefault="00F728EF" w:rsidP="00F728EF">
      <w:pPr>
        <w:numPr>
          <w:ilvl w:val="0"/>
          <w:numId w:val="2"/>
        </w:numPr>
        <w:rPr>
          <w:lang w:val="en-SG"/>
        </w:rPr>
      </w:pPr>
      <w:r w:rsidRPr="00F728EF">
        <w:rPr>
          <w:lang w:val="en-SG"/>
        </w:rPr>
        <w:t xml:space="preserve">A </w:t>
      </w:r>
      <w:r w:rsidRPr="00F728EF">
        <w:rPr>
          <w:b/>
          <w:bCs/>
          <w:lang w:val="en-SG"/>
        </w:rPr>
        <w:t>Variational Movement Decoder</w:t>
      </w:r>
      <w:r w:rsidRPr="00F728EF">
        <w:rPr>
          <w:lang w:val="en-SG"/>
        </w:rPr>
        <w:t xml:space="preserve"> that captures stochastic dependencies,</w:t>
      </w:r>
    </w:p>
    <w:p w14:paraId="28F4DD17" w14:textId="77777777" w:rsidR="00F728EF" w:rsidRPr="00F728EF" w:rsidRDefault="00F728EF" w:rsidP="00F728EF">
      <w:pPr>
        <w:numPr>
          <w:ilvl w:val="0"/>
          <w:numId w:val="2"/>
        </w:numPr>
        <w:rPr>
          <w:lang w:val="en-SG"/>
        </w:rPr>
      </w:pPr>
      <w:r w:rsidRPr="00F728EF">
        <w:rPr>
          <w:lang w:val="en-SG"/>
        </w:rPr>
        <w:t xml:space="preserve">An </w:t>
      </w:r>
      <w:r w:rsidRPr="00F728EF">
        <w:rPr>
          <w:b/>
          <w:bCs/>
          <w:lang w:val="en-SG"/>
        </w:rPr>
        <w:t>Attentive Temporal Auxiliary module</w:t>
      </w:r>
      <w:r w:rsidRPr="00F728EF">
        <w:rPr>
          <w:lang w:val="en-SG"/>
        </w:rPr>
        <w:t xml:space="preserve"> that leverages prior movement predictions to improve temporal coherence.</w:t>
      </w:r>
    </w:p>
    <w:p w14:paraId="54D28F93" w14:textId="77777777" w:rsidR="00F728EF" w:rsidRPr="00F728EF" w:rsidRDefault="00F728EF" w:rsidP="00F728EF">
      <w:pPr>
        <w:rPr>
          <w:lang w:val="en-SG"/>
        </w:rPr>
      </w:pPr>
      <w:r w:rsidRPr="00F728EF">
        <w:rPr>
          <w:lang w:val="en-SG"/>
        </w:rPr>
        <w:t xml:space="preserve">The model is trained on a dataset covering 88 U.S. stocks across two years (2014–2016), combining Twitter messages and Yahoo Finance price data. It achieves </w:t>
      </w:r>
      <w:r w:rsidRPr="00F728EF">
        <w:rPr>
          <w:b/>
          <w:bCs/>
          <w:lang w:val="en-SG"/>
        </w:rPr>
        <w:t>58.2% accuracy</w:t>
      </w:r>
      <w:r w:rsidRPr="00F728EF">
        <w:rPr>
          <w:lang w:val="en-SG"/>
        </w:rPr>
        <w:t xml:space="preserve">, outperforming all baselines—including ARIMA, random forests, and state-of-the-art NLP models like HAN. Notably, the generative model also produces a higher </w:t>
      </w:r>
      <w:r w:rsidRPr="00F728EF">
        <w:rPr>
          <w:b/>
          <w:bCs/>
          <w:lang w:val="en-SG"/>
        </w:rPr>
        <w:t>Matthews Correlation Coefficient (MCC)</w:t>
      </w:r>
      <w:r w:rsidRPr="00F728EF">
        <w:rPr>
          <w:lang w:val="en-SG"/>
        </w:rPr>
        <w:t>, indicating stronger prediction reliability in imbalanced datasets.</w:t>
      </w:r>
    </w:p>
    <w:p w14:paraId="2CDADA89" w14:textId="77777777" w:rsidR="00F728EF" w:rsidRPr="00F728EF" w:rsidRDefault="00F728EF" w:rsidP="00F728EF">
      <w:pPr>
        <w:rPr>
          <w:lang w:val="en-SG"/>
        </w:rPr>
      </w:pPr>
      <w:proofErr w:type="spellStart"/>
      <w:r w:rsidRPr="00F728EF">
        <w:rPr>
          <w:lang w:val="en-SG"/>
        </w:rPr>
        <w:t>StockNet's</w:t>
      </w:r>
      <w:proofErr w:type="spellEnd"/>
      <w:r w:rsidRPr="00F728EF">
        <w:rPr>
          <w:lang w:val="en-SG"/>
        </w:rPr>
        <w:t xml:space="preserve"> performance demonstrates the </w:t>
      </w:r>
      <w:r w:rsidRPr="00F728EF">
        <w:rPr>
          <w:b/>
          <w:bCs/>
          <w:lang w:val="en-SG"/>
        </w:rPr>
        <w:t>value of combining social sentiment with technical indicators</w:t>
      </w:r>
      <w:r w:rsidRPr="00F728EF">
        <w:rPr>
          <w:lang w:val="en-SG"/>
        </w:rPr>
        <w:t xml:space="preserve">. It also shows that deep generative models—traditionally used in language </w:t>
      </w:r>
      <w:proofErr w:type="spellStart"/>
      <w:r w:rsidRPr="00F728EF">
        <w:rPr>
          <w:lang w:val="en-SG"/>
        </w:rPr>
        <w:t>modeling</w:t>
      </w:r>
      <w:proofErr w:type="spellEnd"/>
      <w:r w:rsidRPr="00F728EF">
        <w:rPr>
          <w:lang w:val="en-SG"/>
        </w:rPr>
        <w:t>—can effectively capture the uncertainty and chaos inherent in financial markets.</w:t>
      </w:r>
    </w:p>
    <w:p w14:paraId="62FE9555" w14:textId="77777777" w:rsidR="00F728EF" w:rsidRPr="00F728EF" w:rsidRDefault="00F728EF" w:rsidP="00F728EF">
      <w:pPr>
        <w:rPr>
          <w:lang w:val="en-SG"/>
        </w:rPr>
      </w:pPr>
      <w:r w:rsidRPr="00F728EF">
        <w:rPr>
          <w:lang w:val="en-SG"/>
        </w:rPr>
        <w:t xml:space="preserve">However, the model focuses solely on </w:t>
      </w:r>
      <w:r w:rsidRPr="00F728EF">
        <w:rPr>
          <w:b/>
          <w:bCs/>
          <w:lang w:val="en-SG"/>
        </w:rPr>
        <w:t>binary movement prediction</w:t>
      </w:r>
      <w:r w:rsidRPr="00F728EF">
        <w:rPr>
          <w:lang w:val="en-SG"/>
        </w:rPr>
        <w:t xml:space="preserve">, without addressing portfolio-level decision-making or capital allocation. Nonetheless, it lays important groundwork for future </w:t>
      </w:r>
      <w:proofErr w:type="spellStart"/>
      <w:r w:rsidRPr="00F728EF">
        <w:rPr>
          <w:lang w:val="en-SG"/>
        </w:rPr>
        <w:t>FinRL</w:t>
      </w:r>
      <w:proofErr w:type="spellEnd"/>
      <w:r w:rsidRPr="00F728EF">
        <w:rPr>
          <w:lang w:val="en-SG"/>
        </w:rPr>
        <w:t xml:space="preserve"> agents that incorporate </w:t>
      </w:r>
      <w:r w:rsidRPr="00F728EF">
        <w:rPr>
          <w:b/>
          <w:bCs/>
          <w:lang w:val="en-SG"/>
        </w:rPr>
        <w:t>multimodal market intelligence</w:t>
      </w:r>
      <w:r w:rsidRPr="00F728EF">
        <w:rPr>
          <w:lang w:val="en-SG"/>
        </w:rPr>
        <w:t xml:space="preserve"> into their policy learning.</w:t>
      </w:r>
    </w:p>
    <w:p w14:paraId="12D525DC" w14:textId="77777777" w:rsidR="00F728EF" w:rsidRPr="00F728EF" w:rsidRDefault="00F728EF" w:rsidP="00F728EF">
      <w:pPr>
        <w:rPr>
          <w:b/>
          <w:bCs/>
          <w:lang w:val="en-SG"/>
        </w:rPr>
      </w:pPr>
      <w:r w:rsidRPr="00F728EF">
        <w:rPr>
          <w:b/>
          <w:bCs/>
          <w:lang w:val="en-SG"/>
        </w:rPr>
        <w:t>Comparative Analysis and Research Gaps</w:t>
      </w:r>
    </w:p>
    <w:p w14:paraId="161A23BE" w14:textId="77777777" w:rsidR="00F728EF" w:rsidRPr="00F728EF" w:rsidRDefault="00F728EF" w:rsidP="00F728EF">
      <w:pPr>
        <w:rPr>
          <w:lang w:val="en-SG"/>
        </w:rPr>
      </w:pPr>
      <w:r w:rsidRPr="00F728EF">
        <w:rPr>
          <w:lang w:val="en-SG"/>
        </w:rPr>
        <w:lastRenderedPageBreak/>
        <w:t xml:space="preserve">The six reviewed papers cover a broad and complementary range of financial AI research—from forecasting and trading strategies to infrastructure and data integration. Collectively, they illustrate how modern techniques in </w:t>
      </w:r>
      <w:r w:rsidRPr="00F728EF">
        <w:rPr>
          <w:b/>
          <w:bCs/>
          <w:lang w:val="en-SG"/>
        </w:rPr>
        <w:t>deep learning</w:t>
      </w:r>
      <w:r w:rsidRPr="00F728EF">
        <w:rPr>
          <w:lang w:val="en-SG"/>
        </w:rPr>
        <w:t xml:space="preserve">, </w:t>
      </w:r>
      <w:r w:rsidRPr="00F728EF">
        <w:rPr>
          <w:b/>
          <w:bCs/>
          <w:lang w:val="en-SG"/>
        </w:rPr>
        <w:t>reinforcement learning</w:t>
      </w:r>
      <w:r w:rsidRPr="00F728EF">
        <w:rPr>
          <w:lang w:val="en-SG"/>
        </w:rPr>
        <w:t xml:space="preserve">, and </w:t>
      </w:r>
      <w:r w:rsidRPr="00F728EF">
        <w:rPr>
          <w:b/>
          <w:bCs/>
          <w:lang w:val="en-SG"/>
        </w:rPr>
        <w:t xml:space="preserve">generative </w:t>
      </w:r>
      <w:proofErr w:type="spellStart"/>
      <w:r w:rsidRPr="00F728EF">
        <w:rPr>
          <w:b/>
          <w:bCs/>
          <w:lang w:val="en-SG"/>
        </w:rPr>
        <w:t>modeling</w:t>
      </w:r>
      <w:proofErr w:type="spellEnd"/>
      <w:r w:rsidRPr="00F728EF">
        <w:rPr>
          <w:lang w:val="en-SG"/>
        </w:rPr>
        <w:t xml:space="preserve"> are transforming the way we approach financial prediction and decision-making.</w:t>
      </w:r>
    </w:p>
    <w:p w14:paraId="03D9FA0E" w14:textId="77777777" w:rsidR="00F728EF" w:rsidRPr="00F728EF" w:rsidRDefault="00F728EF" w:rsidP="00F728EF">
      <w:pPr>
        <w:rPr>
          <w:b/>
          <w:bCs/>
        </w:rPr>
      </w:pPr>
      <w:r w:rsidRPr="00F728EF">
        <w:rPr>
          <w:b/>
          <w:bCs/>
        </w:rPr>
        <w:t>6.1 Comparative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1891"/>
        <w:gridCol w:w="3020"/>
        <w:gridCol w:w="2521"/>
      </w:tblGrid>
      <w:tr w:rsidR="00F728EF" w:rsidRPr="00F728EF" w14:paraId="32623D58" w14:textId="77777777" w:rsidTr="00F728EF">
        <w:trPr>
          <w:tblHeader/>
          <w:tblCellSpacing w:w="15" w:type="dxa"/>
        </w:trPr>
        <w:tc>
          <w:tcPr>
            <w:tcW w:w="0" w:type="auto"/>
            <w:vAlign w:val="center"/>
            <w:hideMark/>
          </w:tcPr>
          <w:p w14:paraId="5C5AB03E" w14:textId="77777777" w:rsidR="00F728EF" w:rsidRPr="00F728EF" w:rsidRDefault="00F728EF" w:rsidP="00F728EF">
            <w:pPr>
              <w:rPr>
                <w:b/>
                <w:bCs/>
              </w:rPr>
            </w:pPr>
            <w:r w:rsidRPr="00F728EF">
              <w:rPr>
                <w:b/>
                <w:bCs/>
              </w:rPr>
              <w:t>Category</w:t>
            </w:r>
          </w:p>
        </w:tc>
        <w:tc>
          <w:tcPr>
            <w:tcW w:w="0" w:type="auto"/>
            <w:vAlign w:val="center"/>
            <w:hideMark/>
          </w:tcPr>
          <w:p w14:paraId="1E282D77" w14:textId="77777777" w:rsidR="00F728EF" w:rsidRPr="00F728EF" w:rsidRDefault="00F728EF" w:rsidP="00F728EF">
            <w:pPr>
              <w:rPr>
                <w:b/>
                <w:bCs/>
              </w:rPr>
            </w:pPr>
            <w:r w:rsidRPr="00F728EF">
              <w:rPr>
                <w:b/>
                <w:bCs/>
              </w:rPr>
              <w:t>Paper(s)</w:t>
            </w:r>
          </w:p>
        </w:tc>
        <w:tc>
          <w:tcPr>
            <w:tcW w:w="0" w:type="auto"/>
            <w:vAlign w:val="center"/>
            <w:hideMark/>
          </w:tcPr>
          <w:p w14:paraId="0664FA23" w14:textId="77777777" w:rsidR="00F728EF" w:rsidRPr="00F728EF" w:rsidRDefault="00F728EF" w:rsidP="00F728EF">
            <w:pPr>
              <w:rPr>
                <w:b/>
                <w:bCs/>
              </w:rPr>
            </w:pPr>
            <w:r w:rsidRPr="00F728EF">
              <w:rPr>
                <w:b/>
                <w:bCs/>
              </w:rPr>
              <w:t>Key Strengths</w:t>
            </w:r>
          </w:p>
        </w:tc>
        <w:tc>
          <w:tcPr>
            <w:tcW w:w="0" w:type="auto"/>
            <w:vAlign w:val="center"/>
            <w:hideMark/>
          </w:tcPr>
          <w:p w14:paraId="6ADCC443" w14:textId="77777777" w:rsidR="00F728EF" w:rsidRPr="00F728EF" w:rsidRDefault="00F728EF" w:rsidP="00F728EF">
            <w:pPr>
              <w:rPr>
                <w:b/>
                <w:bCs/>
              </w:rPr>
            </w:pPr>
            <w:r w:rsidRPr="00F728EF">
              <w:rPr>
                <w:b/>
                <w:bCs/>
              </w:rPr>
              <w:t>Limitations</w:t>
            </w:r>
          </w:p>
        </w:tc>
      </w:tr>
      <w:tr w:rsidR="00F728EF" w:rsidRPr="00F728EF" w14:paraId="52816C56" w14:textId="77777777" w:rsidTr="00F728EF">
        <w:trPr>
          <w:tblCellSpacing w:w="15" w:type="dxa"/>
        </w:trPr>
        <w:tc>
          <w:tcPr>
            <w:tcW w:w="0" w:type="auto"/>
            <w:vAlign w:val="center"/>
            <w:hideMark/>
          </w:tcPr>
          <w:p w14:paraId="7DD82E4F" w14:textId="77777777" w:rsidR="00F728EF" w:rsidRPr="00F728EF" w:rsidRDefault="00F728EF" w:rsidP="00F728EF">
            <w:r w:rsidRPr="00F728EF">
              <w:rPr>
                <w:b/>
                <w:bCs/>
              </w:rPr>
              <w:t>Forecasting</w:t>
            </w:r>
          </w:p>
        </w:tc>
        <w:tc>
          <w:tcPr>
            <w:tcW w:w="0" w:type="auto"/>
            <w:vAlign w:val="center"/>
            <w:hideMark/>
          </w:tcPr>
          <w:p w14:paraId="697588A1" w14:textId="77777777" w:rsidR="00F728EF" w:rsidRPr="00F728EF" w:rsidRDefault="00F728EF" w:rsidP="00F728EF">
            <w:r w:rsidRPr="00F728EF">
              <w:t>Reservoir Computing (Paper 1)</w:t>
            </w:r>
          </w:p>
        </w:tc>
        <w:tc>
          <w:tcPr>
            <w:tcW w:w="0" w:type="auto"/>
            <w:vAlign w:val="center"/>
            <w:hideMark/>
          </w:tcPr>
          <w:p w14:paraId="5D07731C" w14:textId="77777777" w:rsidR="00F728EF" w:rsidRPr="00F728EF" w:rsidRDefault="00F728EF" w:rsidP="00F728EF">
            <w:pPr>
              <w:rPr>
                <w:lang w:val="en-SG"/>
              </w:rPr>
            </w:pPr>
            <w:r w:rsidRPr="00F728EF">
              <w:rPr>
                <w:lang w:val="en-SG"/>
              </w:rPr>
              <w:t>High accuracy, low latency, simple implementation</w:t>
            </w:r>
          </w:p>
        </w:tc>
        <w:tc>
          <w:tcPr>
            <w:tcW w:w="0" w:type="auto"/>
            <w:vAlign w:val="center"/>
            <w:hideMark/>
          </w:tcPr>
          <w:p w14:paraId="01D7E539" w14:textId="77777777" w:rsidR="00F728EF" w:rsidRPr="00F728EF" w:rsidRDefault="00F728EF" w:rsidP="00F728EF">
            <w:pPr>
              <w:rPr>
                <w:lang w:val="en-SG"/>
              </w:rPr>
            </w:pPr>
            <w:r w:rsidRPr="00F728EF">
              <w:rPr>
                <w:lang w:val="en-SG"/>
              </w:rPr>
              <w:t>Single-asset only; no adaptive learning</w:t>
            </w:r>
          </w:p>
        </w:tc>
      </w:tr>
      <w:tr w:rsidR="00F728EF" w:rsidRPr="00F728EF" w14:paraId="031EA753" w14:textId="77777777" w:rsidTr="00F728EF">
        <w:trPr>
          <w:tblCellSpacing w:w="15" w:type="dxa"/>
        </w:trPr>
        <w:tc>
          <w:tcPr>
            <w:tcW w:w="0" w:type="auto"/>
            <w:vAlign w:val="center"/>
            <w:hideMark/>
          </w:tcPr>
          <w:p w14:paraId="4A25F4AA" w14:textId="77777777" w:rsidR="00F728EF" w:rsidRPr="00F728EF" w:rsidRDefault="00F728EF" w:rsidP="00F728EF">
            <w:r w:rsidRPr="00F728EF">
              <w:rPr>
                <w:b/>
                <w:bCs/>
              </w:rPr>
              <w:t>Trading Agents</w:t>
            </w:r>
          </w:p>
        </w:tc>
        <w:tc>
          <w:tcPr>
            <w:tcW w:w="0" w:type="auto"/>
            <w:vAlign w:val="center"/>
            <w:hideMark/>
          </w:tcPr>
          <w:p w14:paraId="2D27EAEF" w14:textId="77777777" w:rsidR="00F728EF" w:rsidRPr="00F728EF" w:rsidRDefault="00F728EF" w:rsidP="00F728EF">
            <w:r w:rsidRPr="00F728EF">
              <w:t>DDPG (Paper 3), TD3 (Paper 2)</w:t>
            </w:r>
          </w:p>
        </w:tc>
        <w:tc>
          <w:tcPr>
            <w:tcW w:w="0" w:type="auto"/>
            <w:vAlign w:val="center"/>
            <w:hideMark/>
          </w:tcPr>
          <w:p w14:paraId="6F6CB01B" w14:textId="77777777" w:rsidR="00F728EF" w:rsidRPr="00F728EF" w:rsidRDefault="00F728EF" w:rsidP="00F728EF">
            <w:pPr>
              <w:rPr>
                <w:lang w:val="en-SG"/>
              </w:rPr>
            </w:pPr>
            <w:r w:rsidRPr="00F728EF">
              <w:rPr>
                <w:lang w:val="en-SG"/>
              </w:rPr>
              <w:t>Optimized capital allocation, risk sensitivity, outperform traditional methods</w:t>
            </w:r>
          </w:p>
        </w:tc>
        <w:tc>
          <w:tcPr>
            <w:tcW w:w="0" w:type="auto"/>
            <w:vAlign w:val="center"/>
            <w:hideMark/>
          </w:tcPr>
          <w:p w14:paraId="37AD017B" w14:textId="77777777" w:rsidR="00F728EF" w:rsidRPr="00F728EF" w:rsidRDefault="00F728EF" w:rsidP="00F728EF">
            <w:pPr>
              <w:rPr>
                <w:lang w:val="en-SG"/>
              </w:rPr>
            </w:pPr>
            <w:r w:rsidRPr="00F728EF">
              <w:rPr>
                <w:lang w:val="en-SG"/>
              </w:rPr>
              <w:t>Require careful tuning; sensitive to data realism</w:t>
            </w:r>
          </w:p>
        </w:tc>
      </w:tr>
      <w:tr w:rsidR="00F728EF" w:rsidRPr="00F728EF" w14:paraId="5164DC3F" w14:textId="77777777" w:rsidTr="00F728EF">
        <w:trPr>
          <w:tblCellSpacing w:w="15" w:type="dxa"/>
        </w:trPr>
        <w:tc>
          <w:tcPr>
            <w:tcW w:w="0" w:type="auto"/>
            <w:vAlign w:val="center"/>
            <w:hideMark/>
          </w:tcPr>
          <w:p w14:paraId="4A05D43F" w14:textId="77777777" w:rsidR="00F728EF" w:rsidRPr="00F728EF" w:rsidRDefault="00F728EF" w:rsidP="00F728EF">
            <w:r w:rsidRPr="00F728EF">
              <w:rPr>
                <w:b/>
                <w:bCs/>
              </w:rPr>
              <w:t>Infrastructure</w:t>
            </w:r>
          </w:p>
        </w:tc>
        <w:tc>
          <w:tcPr>
            <w:tcW w:w="0" w:type="auto"/>
            <w:vAlign w:val="center"/>
            <w:hideMark/>
          </w:tcPr>
          <w:p w14:paraId="5CAC5E76" w14:textId="77777777" w:rsidR="00F728EF" w:rsidRPr="00F728EF" w:rsidRDefault="00F728EF" w:rsidP="00F728EF">
            <w:pPr>
              <w:rPr>
                <w:lang w:val="en-SG"/>
              </w:rPr>
            </w:pPr>
            <w:proofErr w:type="spellStart"/>
            <w:r w:rsidRPr="00F728EF">
              <w:rPr>
                <w:lang w:val="en-SG"/>
              </w:rPr>
              <w:t>FinRL</w:t>
            </w:r>
            <w:proofErr w:type="spellEnd"/>
            <w:r w:rsidRPr="00F728EF">
              <w:rPr>
                <w:lang w:val="en-SG"/>
              </w:rPr>
              <w:t>-Meta, Dynamic Datasets (Papers 4–5)</w:t>
            </w:r>
          </w:p>
        </w:tc>
        <w:tc>
          <w:tcPr>
            <w:tcW w:w="0" w:type="auto"/>
            <w:vAlign w:val="center"/>
            <w:hideMark/>
          </w:tcPr>
          <w:p w14:paraId="5BB0C316" w14:textId="77777777" w:rsidR="00F728EF" w:rsidRPr="00F728EF" w:rsidRDefault="00F728EF" w:rsidP="00F728EF">
            <w:pPr>
              <w:rPr>
                <w:lang w:val="en-SG"/>
              </w:rPr>
            </w:pPr>
            <w:r w:rsidRPr="00F728EF">
              <w:rPr>
                <w:lang w:val="en-SG"/>
              </w:rPr>
              <w:t>Reproducibility, modularity, live data support, benchmark environments</w:t>
            </w:r>
          </w:p>
        </w:tc>
        <w:tc>
          <w:tcPr>
            <w:tcW w:w="0" w:type="auto"/>
            <w:vAlign w:val="center"/>
            <w:hideMark/>
          </w:tcPr>
          <w:p w14:paraId="27390440" w14:textId="77777777" w:rsidR="00F728EF" w:rsidRPr="00F728EF" w:rsidRDefault="00F728EF" w:rsidP="00F728EF">
            <w:pPr>
              <w:rPr>
                <w:lang w:val="en-SG"/>
              </w:rPr>
            </w:pPr>
            <w:r w:rsidRPr="00F728EF">
              <w:rPr>
                <w:lang w:val="en-SG"/>
              </w:rPr>
              <w:t>Require computational infrastructure; steep learning curve</w:t>
            </w:r>
          </w:p>
        </w:tc>
      </w:tr>
      <w:tr w:rsidR="00F728EF" w:rsidRPr="00F728EF" w14:paraId="7D801856" w14:textId="77777777" w:rsidTr="00F728EF">
        <w:trPr>
          <w:tblCellSpacing w:w="15" w:type="dxa"/>
        </w:trPr>
        <w:tc>
          <w:tcPr>
            <w:tcW w:w="0" w:type="auto"/>
            <w:vAlign w:val="center"/>
            <w:hideMark/>
          </w:tcPr>
          <w:p w14:paraId="2562444A" w14:textId="77777777" w:rsidR="00F728EF" w:rsidRPr="00F728EF" w:rsidRDefault="00F728EF" w:rsidP="00F728EF">
            <w:r w:rsidRPr="00F728EF">
              <w:rPr>
                <w:b/>
                <w:bCs/>
              </w:rPr>
              <w:t>Multimodal Modeling</w:t>
            </w:r>
          </w:p>
        </w:tc>
        <w:tc>
          <w:tcPr>
            <w:tcW w:w="0" w:type="auto"/>
            <w:vAlign w:val="center"/>
            <w:hideMark/>
          </w:tcPr>
          <w:p w14:paraId="45E297D6" w14:textId="77777777" w:rsidR="00F728EF" w:rsidRPr="00F728EF" w:rsidRDefault="00F728EF" w:rsidP="00F728EF">
            <w:r w:rsidRPr="00F728EF">
              <w:t>StockNet (Paper 6)</w:t>
            </w:r>
          </w:p>
        </w:tc>
        <w:tc>
          <w:tcPr>
            <w:tcW w:w="0" w:type="auto"/>
            <w:vAlign w:val="center"/>
            <w:hideMark/>
          </w:tcPr>
          <w:p w14:paraId="20E7B520" w14:textId="77777777" w:rsidR="00F728EF" w:rsidRPr="00F728EF" w:rsidRDefault="00F728EF" w:rsidP="00F728EF">
            <w:pPr>
              <w:rPr>
                <w:lang w:val="en-SG"/>
              </w:rPr>
            </w:pPr>
            <w:r w:rsidRPr="00F728EF">
              <w:rPr>
                <w:lang w:val="en-SG"/>
              </w:rPr>
              <w:t>Incorporates sentiment &amp; price, generative model with temporal structure</w:t>
            </w:r>
          </w:p>
        </w:tc>
        <w:tc>
          <w:tcPr>
            <w:tcW w:w="0" w:type="auto"/>
            <w:vAlign w:val="center"/>
            <w:hideMark/>
          </w:tcPr>
          <w:p w14:paraId="741C51EE" w14:textId="77777777" w:rsidR="00F728EF" w:rsidRPr="00F728EF" w:rsidRDefault="00F728EF" w:rsidP="00F728EF">
            <w:pPr>
              <w:rPr>
                <w:lang w:val="en-SG"/>
              </w:rPr>
            </w:pPr>
            <w:r w:rsidRPr="00F728EF">
              <w:rPr>
                <w:lang w:val="en-SG"/>
              </w:rPr>
              <w:t>Binary-only prediction, not integrated with RL</w:t>
            </w:r>
          </w:p>
        </w:tc>
      </w:tr>
    </w:tbl>
    <w:p w14:paraId="36328544" w14:textId="77777777" w:rsidR="00F728EF" w:rsidRPr="00F728EF" w:rsidRDefault="00F728EF" w:rsidP="00F728EF">
      <w:pPr>
        <w:rPr>
          <w:lang w:val="en-SG"/>
        </w:rPr>
      </w:pPr>
      <w:r w:rsidRPr="00F728EF">
        <w:rPr>
          <w:lang w:val="en-SG"/>
        </w:rPr>
        <w:t xml:space="preserve">These approaches vary in their </w:t>
      </w:r>
      <w:r w:rsidRPr="00F728EF">
        <w:rPr>
          <w:b/>
          <w:bCs/>
          <w:lang w:val="en-SG"/>
        </w:rPr>
        <w:t>scope</w:t>
      </w:r>
      <w:r w:rsidRPr="00F728EF">
        <w:rPr>
          <w:lang w:val="en-SG"/>
        </w:rPr>
        <w:t xml:space="preserve"> (single asset vs. portfolio), </w:t>
      </w:r>
      <w:r w:rsidRPr="00F728EF">
        <w:rPr>
          <w:b/>
          <w:bCs/>
          <w:lang w:val="en-SG"/>
        </w:rPr>
        <w:t>output</w:t>
      </w:r>
      <w:r w:rsidRPr="00F728EF">
        <w:rPr>
          <w:lang w:val="en-SG"/>
        </w:rPr>
        <w:t xml:space="preserve"> (prediction vs. policy), and </w:t>
      </w:r>
      <w:r w:rsidRPr="00F728EF">
        <w:rPr>
          <w:b/>
          <w:bCs/>
          <w:lang w:val="en-SG"/>
        </w:rPr>
        <w:t>data modalities</w:t>
      </w:r>
      <w:r w:rsidRPr="00F728EF">
        <w:rPr>
          <w:lang w:val="en-SG"/>
        </w:rPr>
        <w:t xml:space="preserve"> (prices, sentiment, fundamentals). However, all point to a need for </w:t>
      </w:r>
      <w:r w:rsidRPr="00F728EF">
        <w:rPr>
          <w:b/>
          <w:bCs/>
          <w:lang w:val="en-SG"/>
        </w:rPr>
        <w:t>more robust, adaptive, and explainable AI systems</w:t>
      </w:r>
      <w:r w:rsidRPr="00F728EF">
        <w:rPr>
          <w:lang w:val="en-SG"/>
        </w:rPr>
        <w:t xml:space="preserve"> in finance.</w:t>
      </w:r>
    </w:p>
    <w:p w14:paraId="4B2F5C71" w14:textId="77777777" w:rsidR="00F728EF" w:rsidRPr="00F728EF" w:rsidRDefault="00F728EF" w:rsidP="00F728EF">
      <w:r w:rsidRPr="00F728EF">
        <w:pict w14:anchorId="0ACCF307">
          <v:rect id="_x0000_i1061" style="width:0;height:1.5pt" o:hralign="center" o:hrstd="t" o:hr="t" fillcolor="#a0a0a0" stroked="f"/>
        </w:pict>
      </w:r>
    </w:p>
    <w:p w14:paraId="72FA339D" w14:textId="77777777" w:rsidR="00F728EF" w:rsidRPr="00F728EF" w:rsidRDefault="00F728EF" w:rsidP="00F728EF">
      <w:pPr>
        <w:rPr>
          <w:b/>
          <w:bCs/>
          <w:lang w:val="en-SG"/>
        </w:rPr>
      </w:pPr>
      <w:r w:rsidRPr="00F728EF">
        <w:rPr>
          <w:b/>
          <w:bCs/>
          <w:lang w:val="en-SG"/>
        </w:rPr>
        <w:t>6.2 Research Gaps and Open Questions</w:t>
      </w:r>
    </w:p>
    <w:p w14:paraId="039B02B4" w14:textId="77777777" w:rsidR="00F728EF" w:rsidRPr="00F728EF" w:rsidRDefault="00F728EF" w:rsidP="00F728EF">
      <w:pPr>
        <w:rPr>
          <w:lang w:val="en-SG"/>
        </w:rPr>
      </w:pPr>
      <w:r w:rsidRPr="00F728EF">
        <w:rPr>
          <w:lang w:val="en-SG"/>
        </w:rPr>
        <w:t>Based on the synthesis, several research gaps emerge:</w:t>
      </w:r>
    </w:p>
    <w:p w14:paraId="6CC35FD2" w14:textId="77777777" w:rsidR="00F728EF" w:rsidRPr="00F728EF" w:rsidRDefault="00F728EF" w:rsidP="00F728EF">
      <w:pPr>
        <w:numPr>
          <w:ilvl w:val="0"/>
          <w:numId w:val="3"/>
        </w:numPr>
        <w:rPr>
          <w:lang w:val="en-SG"/>
        </w:rPr>
      </w:pPr>
      <w:r w:rsidRPr="00F728EF">
        <w:rPr>
          <w:b/>
          <w:bCs/>
          <w:lang w:val="en-SG"/>
        </w:rPr>
        <w:t xml:space="preserve">Hybrid </w:t>
      </w:r>
      <w:proofErr w:type="spellStart"/>
      <w:r w:rsidRPr="00F728EF">
        <w:rPr>
          <w:b/>
          <w:bCs/>
          <w:lang w:val="en-SG"/>
        </w:rPr>
        <w:t>Modeling</w:t>
      </w:r>
      <w:proofErr w:type="spellEnd"/>
      <w:r w:rsidRPr="00F728EF">
        <w:rPr>
          <w:lang w:val="en-SG"/>
        </w:rPr>
        <w:t>: Most models focus either on prediction (</w:t>
      </w:r>
      <w:proofErr w:type="spellStart"/>
      <w:r w:rsidRPr="00F728EF">
        <w:rPr>
          <w:lang w:val="en-SG"/>
        </w:rPr>
        <w:t>StockNet</w:t>
      </w:r>
      <w:proofErr w:type="spellEnd"/>
      <w:r w:rsidRPr="00F728EF">
        <w:rPr>
          <w:lang w:val="en-SG"/>
        </w:rPr>
        <w:t xml:space="preserve">, RC) or decision-making (TD3, DDPG). Bridging the two—e.g., by integrating </w:t>
      </w:r>
      <w:proofErr w:type="spellStart"/>
      <w:r w:rsidRPr="00F728EF">
        <w:rPr>
          <w:lang w:val="en-SG"/>
        </w:rPr>
        <w:t>StockNet</w:t>
      </w:r>
      <w:proofErr w:type="spellEnd"/>
      <w:r w:rsidRPr="00F728EF">
        <w:rPr>
          <w:lang w:val="en-SG"/>
        </w:rPr>
        <w:t>-like sentiment encoders into DRL agents—remains largely unexplored.</w:t>
      </w:r>
    </w:p>
    <w:p w14:paraId="1E3FF07B" w14:textId="77777777" w:rsidR="00F728EF" w:rsidRPr="00F728EF" w:rsidRDefault="00F728EF" w:rsidP="00F728EF">
      <w:pPr>
        <w:numPr>
          <w:ilvl w:val="0"/>
          <w:numId w:val="3"/>
        </w:numPr>
      </w:pPr>
      <w:r w:rsidRPr="00F728EF">
        <w:rPr>
          <w:b/>
          <w:bCs/>
          <w:lang w:val="en-SG"/>
        </w:rPr>
        <w:t>Explainability</w:t>
      </w:r>
      <w:r w:rsidRPr="00F728EF">
        <w:rPr>
          <w:lang w:val="en-SG"/>
        </w:rPr>
        <w:t xml:space="preserve">: Despite high performance, these models lack interpretability. In finance, black-box systems face resistance due to regulatory and fiduciary concerns. </w:t>
      </w:r>
      <w:r w:rsidRPr="00F728EF">
        <w:t>Future work should incorporate explainable RL and feature attribution.</w:t>
      </w:r>
    </w:p>
    <w:p w14:paraId="15F95576" w14:textId="77777777" w:rsidR="00F728EF" w:rsidRPr="00F728EF" w:rsidRDefault="00F728EF" w:rsidP="00F728EF">
      <w:pPr>
        <w:numPr>
          <w:ilvl w:val="0"/>
          <w:numId w:val="3"/>
        </w:numPr>
        <w:rPr>
          <w:lang w:val="en-SG"/>
        </w:rPr>
      </w:pPr>
      <w:r w:rsidRPr="00F728EF">
        <w:rPr>
          <w:b/>
          <w:bCs/>
          <w:lang w:val="en-SG"/>
        </w:rPr>
        <w:t>Multi-Agent Systems</w:t>
      </w:r>
      <w:r w:rsidRPr="00F728EF">
        <w:rPr>
          <w:lang w:val="en-SG"/>
        </w:rPr>
        <w:t>: Financial markets are inherently multi-agent. Yet, most reviewed works train single-agent models. Competitive and cooperative multi-agent RL could better simulate market dynamics.</w:t>
      </w:r>
    </w:p>
    <w:p w14:paraId="19503AE1" w14:textId="77777777" w:rsidR="00F728EF" w:rsidRPr="00F728EF" w:rsidRDefault="00F728EF" w:rsidP="00F728EF">
      <w:pPr>
        <w:numPr>
          <w:ilvl w:val="0"/>
          <w:numId w:val="3"/>
        </w:numPr>
        <w:rPr>
          <w:lang w:val="en-SG"/>
        </w:rPr>
      </w:pPr>
      <w:r w:rsidRPr="00F728EF">
        <w:rPr>
          <w:b/>
          <w:bCs/>
          <w:lang w:val="en-SG"/>
        </w:rPr>
        <w:lastRenderedPageBreak/>
        <w:t>Cross-Modal Reasoning</w:t>
      </w:r>
      <w:r w:rsidRPr="00F728EF">
        <w:rPr>
          <w:lang w:val="en-SG"/>
        </w:rPr>
        <w:t xml:space="preserve">: </w:t>
      </w:r>
      <w:proofErr w:type="spellStart"/>
      <w:r w:rsidRPr="00F728EF">
        <w:rPr>
          <w:lang w:val="en-SG"/>
        </w:rPr>
        <w:t>StockNet</w:t>
      </w:r>
      <w:proofErr w:type="spellEnd"/>
      <w:r w:rsidRPr="00F728EF">
        <w:rPr>
          <w:lang w:val="en-SG"/>
        </w:rPr>
        <w:t xml:space="preserve"> shows the potential of integrating tweets and prices, but further integration with </w:t>
      </w:r>
      <w:r w:rsidRPr="00F728EF">
        <w:rPr>
          <w:b/>
          <w:bCs/>
          <w:lang w:val="en-SG"/>
        </w:rPr>
        <w:t>news</w:t>
      </w:r>
      <w:r w:rsidRPr="00F728EF">
        <w:rPr>
          <w:lang w:val="en-SG"/>
        </w:rPr>
        <w:t xml:space="preserve">, </w:t>
      </w:r>
      <w:r w:rsidRPr="00F728EF">
        <w:rPr>
          <w:b/>
          <w:bCs/>
          <w:lang w:val="en-SG"/>
        </w:rPr>
        <w:t>macroeconomic indicators</w:t>
      </w:r>
      <w:r w:rsidRPr="00F728EF">
        <w:rPr>
          <w:lang w:val="en-SG"/>
        </w:rPr>
        <w:t xml:space="preserve">, and </w:t>
      </w:r>
      <w:r w:rsidRPr="00F728EF">
        <w:rPr>
          <w:b/>
          <w:bCs/>
          <w:lang w:val="en-SG"/>
        </w:rPr>
        <w:t>alternative data</w:t>
      </w:r>
      <w:r w:rsidRPr="00F728EF">
        <w:rPr>
          <w:lang w:val="en-SG"/>
        </w:rPr>
        <w:t xml:space="preserve"> (e.g., ESG scores, patents) could enhance robustness.</w:t>
      </w:r>
    </w:p>
    <w:p w14:paraId="35EF8741" w14:textId="77777777" w:rsidR="00F728EF" w:rsidRPr="00F728EF" w:rsidRDefault="00F728EF" w:rsidP="00F728EF">
      <w:pPr>
        <w:numPr>
          <w:ilvl w:val="0"/>
          <w:numId w:val="3"/>
        </w:numPr>
        <w:rPr>
          <w:lang w:val="en-SG"/>
        </w:rPr>
      </w:pPr>
      <w:r w:rsidRPr="00F728EF">
        <w:rPr>
          <w:b/>
          <w:bCs/>
          <w:lang w:val="en-SG"/>
        </w:rPr>
        <w:t xml:space="preserve">Real-Time Deployment and </w:t>
      </w:r>
      <w:proofErr w:type="spellStart"/>
      <w:r w:rsidRPr="00F728EF">
        <w:rPr>
          <w:b/>
          <w:bCs/>
          <w:lang w:val="en-SG"/>
        </w:rPr>
        <w:t>RLOps</w:t>
      </w:r>
      <w:proofErr w:type="spellEnd"/>
      <w:r w:rsidRPr="00F728EF">
        <w:rPr>
          <w:lang w:val="en-SG"/>
        </w:rPr>
        <w:t>: While Papers 4 and 5 address infrastructure, few models are deployed in real-time or evaluated in live markets. Bridging the gap between research prototypes and production systems remains a major challenge.</w:t>
      </w:r>
    </w:p>
    <w:p w14:paraId="4124A753" w14:textId="77777777" w:rsidR="00F728EF" w:rsidRPr="00F728EF" w:rsidRDefault="00F728EF" w:rsidP="00F728EF">
      <w:r w:rsidRPr="00F728EF">
        <w:pict w14:anchorId="73941421">
          <v:rect id="_x0000_i1062" style="width:0;height:1.5pt" o:hralign="center" o:hrstd="t" o:hr="t" fillcolor="#a0a0a0" stroked="f"/>
        </w:pict>
      </w:r>
    </w:p>
    <w:p w14:paraId="3633E568" w14:textId="77777777" w:rsidR="00F728EF" w:rsidRPr="00F728EF" w:rsidRDefault="00F728EF" w:rsidP="00F728EF">
      <w:pPr>
        <w:rPr>
          <w:lang w:val="en-SG"/>
        </w:rPr>
      </w:pPr>
      <w:r w:rsidRPr="00F728EF">
        <w:rPr>
          <w:lang w:val="en-SG"/>
        </w:rPr>
        <w:t>These research gaps provide promising directions for advancing financial AI systems that are not only accurate, but also robust, transparent, and ready for real-world deployment.</w:t>
      </w:r>
    </w:p>
    <w:p w14:paraId="5AC7E0C6" w14:textId="77777777" w:rsidR="00F728EF" w:rsidRPr="00F728EF" w:rsidRDefault="00F728EF" w:rsidP="00F728EF">
      <w:pPr>
        <w:rPr>
          <w:b/>
          <w:bCs/>
          <w:lang w:val="en-SG"/>
        </w:rPr>
      </w:pPr>
      <w:r w:rsidRPr="00F728EF">
        <w:rPr>
          <w:b/>
          <w:bCs/>
          <w:lang w:val="en-SG"/>
        </w:rPr>
        <w:t>Conclusion</w:t>
      </w:r>
    </w:p>
    <w:p w14:paraId="4106F1FB" w14:textId="77777777" w:rsidR="00F728EF" w:rsidRPr="00F728EF" w:rsidRDefault="00F728EF" w:rsidP="00F728EF">
      <w:pPr>
        <w:rPr>
          <w:lang w:val="en-SG"/>
        </w:rPr>
      </w:pPr>
      <w:r w:rsidRPr="00F728EF">
        <w:rPr>
          <w:lang w:val="en-SG"/>
        </w:rPr>
        <w:t>This literature review has explored six influential contributions at the intersection of deep learning, reinforcement learning, and financial prediction. The reviewed works highlight significant progress along three major fronts:</w:t>
      </w:r>
    </w:p>
    <w:p w14:paraId="427E1329" w14:textId="77777777" w:rsidR="00F728EF" w:rsidRPr="00F728EF" w:rsidRDefault="00F728EF" w:rsidP="00F728EF">
      <w:pPr>
        <w:numPr>
          <w:ilvl w:val="0"/>
          <w:numId w:val="4"/>
        </w:numPr>
        <w:rPr>
          <w:lang w:val="en-SG"/>
        </w:rPr>
      </w:pPr>
      <w:r w:rsidRPr="00F728EF">
        <w:rPr>
          <w:b/>
          <w:bCs/>
          <w:lang w:val="en-SG"/>
        </w:rPr>
        <w:t>Forecasting innovations</w:t>
      </w:r>
      <w:r w:rsidRPr="00F728EF">
        <w:rPr>
          <w:lang w:val="en-SG"/>
        </w:rPr>
        <w:t>, exemplified by Reservoir Computing, offer efficient alternatives to deep models like LSTM for fast and accurate asset prediction.</w:t>
      </w:r>
    </w:p>
    <w:p w14:paraId="79B1D1B9" w14:textId="77777777" w:rsidR="00F728EF" w:rsidRPr="00F728EF" w:rsidRDefault="00F728EF" w:rsidP="00F728EF">
      <w:pPr>
        <w:numPr>
          <w:ilvl w:val="0"/>
          <w:numId w:val="4"/>
        </w:numPr>
        <w:rPr>
          <w:lang w:val="en-SG"/>
        </w:rPr>
      </w:pPr>
      <w:r w:rsidRPr="00F728EF">
        <w:rPr>
          <w:b/>
          <w:bCs/>
          <w:lang w:val="en-SG"/>
        </w:rPr>
        <w:t>Reinforcement learning applications</w:t>
      </w:r>
      <w:r w:rsidRPr="00F728EF">
        <w:rPr>
          <w:lang w:val="en-SG"/>
        </w:rPr>
        <w:t>, such as TD3 and DDPG, have demonstrated the capability of AI agents to make risk-sensitive portfolio decisions and outperform traditional benchmarks.</w:t>
      </w:r>
    </w:p>
    <w:p w14:paraId="35C7B180" w14:textId="77777777" w:rsidR="00F728EF" w:rsidRPr="00F728EF" w:rsidRDefault="00F728EF" w:rsidP="00F728EF">
      <w:pPr>
        <w:numPr>
          <w:ilvl w:val="0"/>
          <w:numId w:val="4"/>
        </w:numPr>
        <w:rPr>
          <w:lang w:val="en-SG"/>
        </w:rPr>
      </w:pPr>
      <w:r w:rsidRPr="00F728EF">
        <w:rPr>
          <w:b/>
          <w:bCs/>
          <w:lang w:val="en-SG"/>
        </w:rPr>
        <w:t>Data-centric and infrastructure-focused advancements</w:t>
      </w:r>
      <w:r w:rsidRPr="00F728EF">
        <w:rPr>
          <w:lang w:val="en-SG"/>
        </w:rPr>
        <w:t xml:space="preserve">, as seen in </w:t>
      </w:r>
      <w:proofErr w:type="spellStart"/>
      <w:r w:rsidRPr="00F728EF">
        <w:rPr>
          <w:lang w:val="en-SG"/>
        </w:rPr>
        <w:t>FinRL</w:t>
      </w:r>
      <w:proofErr w:type="spellEnd"/>
      <w:r w:rsidRPr="00F728EF">
        <w:rPr>
          <w:lang w:val="en-SG"/>
        </w:rPr>
        <w:t>-Meta and dynamic datasets, are pushing the field toward reproducibility, standardization, and real-time deployment.</w:t>
      </w:r>
    </w:p>
    <w:p w14:paraId="48F148C0" w14:textId="77777777" w:rsidR="00F728EF" w:rsidRPr="00F728EF" w:rsidRDefault="00F728EF" w:rsidP="00F728EF">
      <w:pPr>
        <w:rPr>
          <w:lang w:val="en-SG"/>
        </w:rPr>
      </w:pPr>
      <w:r w:rsidRPr="00F728EF">
        <w:rPr>
          <w:lang w:val="en-SG"/>
        </w:rPr>
        <w:t xml:space="preserve">Additionally, the integration of </w:t>
      </w:r>
      <w:r w:rsidRPr="00F728EF">
        <w:rPr>
          <w:b/>
          <w:bCs/>
          <w:lang w:val="en-SG"/>
        </w:rPr>
        <w:t>multimodal data sources</w:t>
      </w:r>
      <w:r w:rsidRPr="00F728EF">
        <w:rPr>
          <w:lang w:val="en-SG"/>
        </w:rPr>
        <w:t xml:space="preserve">, as pioneered by </w:t>
      </w:r>
      <w:proofErr w:type="spellStart"/>
      <w:r w:rsidRPr="00F728EF">
        <w:rPr>
          <w:lang w:val="en-SG"/>
        </w:rPr>
        <w:t>StockNet</w:t>
      </w:r>
      <w:proofErr w:type="spellEnd"/>
      <w:r w:rsidRPr="00F728EF">
        <w:rPr>
          <w:lang w:val="en-SG"/>
        </w:rPr>
        <w:t xml:space="preserve">, illustrates the growing importance of combining sentiment and numerical indicators to better understand market </w:t>
      </w:r>
      <w:proofErr w:type="spellStart"/>
      <w:r w:rsidRPr="00F728EF">
        <w:rPr>
          <w:lang w:val="en-SG"/>
        </w:rPr>
        <w:t>behavior</w:t>
      </w:r>
      <w:proofErr w:type="spellEnd"/>
      <w:r w:rsidRPr="00F728EF">
        <w:rPr>
          <w:lang w:val="en-SG"/>
        </w:rPr>
        <w:t>.</w:t>
      </w:r>
    </w:p>
    <w:p w14:paraId="6B80D200" w14:textId="77777777" w:rsidR="00F728EF" w:rsidRPr="00F728EF" w:rsidRDefault="00F728EF" w:rsidP="00F728EF">
      <w:pPr>
        <w:rPr>
          <w:lang w:val="en-SG"/>
        </w:rPr>
      </w:pPr>
      <w:r w:rsidRPr="00F728EF">
        <w:rPr>
          <w:lang w:val="en-SG"/>
        </w:rPr>
        <w:t>Despite these advancements, challenges remain—particularly in model explainability, online adaptation, and the development of hybrid systems that can both predict and act. Future research should focus on bridging these gaps through cross-disciplinary approaches, combining robust machine learning techniques with domain expertise in finance.</w:t>
      </w:r>
    </w:p>
    <w:p w14:paraId="264E356D" w14:textId="09D2B165" w:rsidR="00F728EF" w:rsidRDefault="00F728EF" w:rsidP="00F728EF">
      <w:pPr>
        <w:rPr>
          <w:lang w:val="en-SG"/>
        </w:rPr>
      </w:pPr>
      <w:r w:rsidRPr="00F728EF">
        <w:rPr>
          <w:lang w:val="en-SG"/>
        </w:rPr>
        <w:t xml:space="preserve">As the field matures, we move closer to building </w:t>
      </w:r>
      <w:r w:rsidRPr="00F728EF">
        <w:rPr>
          <w:b/>
          <w:bCs/>
          <w:lang w:val="en-SG"/>
        </w:rPr>
        <w:t>transparent, adaptive, and trustworthy AI systems</w:t>
      </w:r>
      <w:r w:rsidRPr="00F728EF">
        <w:rPr>
          <w:lang w:val="en-SG"/>
        </w:rPr>
        <w:t xml:space="preserve"> capable of navigating the complexity and volatility of modern financial markets.</w:t>
      </w:r>
    </w:p>
    <w:p w14:paraId="399B914B" w14:textId="7ADFEC07" w:rsidR="00F728EF" w:rsidRPr="00F728EF" w:rsidRDefault="00F728EF" w:rsidP="00F728EF">
      <w:pPr>
        <w:rPr>
          <w:b/>
          <w:bCs/>
        </w:rPr>
      </w:pPr>
      <w:r w:rsidRPr="00F728EF">
        <w:rPr>
          <w:b/>
          <w:bCs/>
        </w:rPr>
        <w:t>References</w:t>
      </w:r>
    </w:p>
    <w:p w14:paraId="2021BA0C" w14:textId="77777777" w:rsidR="00F728EF" w:rsidRPr="00F728EF" w:rsidRDefault="00F728EF" w:rsidP="00F728EF">
      <w:pPr>
        <w:numPr>
          <w:ilvl w:val="0"/>
          <w:numId w:val="5"/>
        </w:numPr>
      </w:pPr>
      <w:r w:rsidRPr="00F728EF">
        <w:rPr>
          <w:lang w:val="en-SG"/>
        </w:rPr>
        <w:t xml:space="preserve">Kumar, K. (2023). </w:t>
      </w:r>
      <w:r w:rsidRPr="00F728EF">
        <w:rPr>
          <w:i/>
          <w:iCs/>
          <w:lang w:val="en-SG"/>
        </w:rPr>
        <w:t>Forecasting crude oil prices using reservoir computing models</w:t>
      </w:r>
      <w:r w:rsidRPr="00F728EF">
        <w:rPr>
          <w:lang w:val="en-SG"/>
        </w:rPr>
        <w:t xml:space="preserve">. </w:t>
      </w:r>
      <w:proofErr w:type="spellStart"/>
      <w:r w:rsidRPr="00F728EF">
        <w:rPr>
          <w:lang w:val="en-SG"/>
        </w:rPr>
        <w:t>arXiv</w:t>
      </w:r>
      <w:proofErr w:type="spellEnd"/>
      <w:r w:rsidRPr="00F728EF">
        <w:rPr>
          <w:lang w:val="en-SG"/>
        </w:rPr>
        <w:t xml:space="preserve"> preprint arXiv:2306.03052. </w:t>
      </w:r>
      <w:hyperlink r:id="rId5" w:tgtFrame="_new" w:history="1">
        <w:r w:rsidRPr="00F728EF">
          <w:rPr>
            <w:rStyle w:val="Hyperlink"/>
          </w:rPr>
          <w:t>https://arxiv.org/abs/2306.03052</w:t>
        </w:r>
      </w:hyperlink>
    </w:p>
    <w:p w14:paraId="48EB22FE" w14:textId="77777777" w:rsidR="00F728EF" w:rsidRPr="00F728EF" w:rsidRDefault="00F728EF" w:rsidP="00F728EF">
      <w:pPr>
        <w:numPr>
          <w:ilvl w:val="0"/>
          <w:numId w:val="5"/>
        </w:numPr>
      </w:pPr>
      <w:r w:rsidRPr="00F728EF">
        <w:rPr>
          <w:lang w:val="en-SG"/>
        </w:rPr>
        <w:t xml:space="preserve">Jiang, Y., Olmo, J., &amp; Atwi, M. (2024). </w:t>
      </w:r>
      <w:r w:rsidRPr="00F728EF">
        <w:rPr>
          <w:i/>
          <w:iCs/>
          <w:lang w:val="en-SG"/>
        </w:rPr>
        <w:t>Deep reinforcement learning for portfolio selection</w:t>
      </w:r>
      <w:r w:rsidRPr="00F728EF">
        <w:rPr>
          <w:lang w:val="en-SG"/>
        </w:rPr>
        <w:t xml:space="preserve">. </w:t>
      </w:r>
      <w:r w:rsidRPr="00F728EF">
        <w:t>Journal of Econometrics. https://doi.org/10.1016/j.jeconom.2024.105641</w:t>
      </w:r>
    </w:p>
    <w:p w14:paraId="7FAA52CB" w14:textId="77777777" w:rsidR="00F728EF" w:rsidRPr="00F728EF" w:rsidRDefault="00F728EF" w:rsidP="00F728EF">
      <w:pPr>
        <w:numPr>
          <w:ilvl w:val="0"/>
          <w:numId w:val="5"/>
        </w:numPr>
      </w:pPr>
      <w:r w:rsidRPr="00F728EF">
        <w:lastRenderedPageBreak/>
        <w:t xml:space="preserve">Liu, B., Wang, Y., Shao, Y., Zhu, Y., Fu, J., Chen, Y., &amp; Li, X. (2018). </w:t>
      </w:r>
      <w:r w:rsidRPr="00F728EF">
        <w:rPr>
          <w:i/>
          <w:iCs/>
          <w:lang w:val="en-SG"/>
        </w:rPr>
        <w:t>Practical deep reinforcement learning approach for stock trading</w:t>
      </w:r>
      <w:r w:rsidRPr="00F728EF">
        <w:rPr>
          <w:lang w:val="en-SG"/>
        </w:rPr>
        <w:t xml:space="preserve">. </w:t>
      </w:r>
      <w:proofErr w:type="spellStart"/>
      <w:r w:rsidRPr="00F728EF">
        <w:rPr>
          <w:lang w:val="en-SG"/>
        </w:rPr>
        <w:t>arXiv</w:t>
      </w:r>
      <w:proofErr w:type="spellEnd"/>
      <w:r w:rsidRPr="00F728EF">
        <w:rPr>
          <w:lang w:val="en-SG"/>
        </w:rPr>
        <w:t xml:space="preserve"> preprint arXiv:1811.07522. </w:t>
      </w:r>
      <w:hyperlink r:id="rId6" w:tgtFrame="_new" w:history="1">
        <w:r w:rsidRPr="00F728EF">
          <w:rPr>
            <w:rStyle w:val="Hyperlink"/>
          </w:rPr>
          <w:t>https://arxiv.org/abs/1811.07522</w:t>
        </w:r>
      </w:hyperlink>
    </w:p>
    <w:p w14:paraId="443744DC" w14:textId="77777777" w:rsidR="00F728EF" w:rsidRPr="00F728EF" w:rsidRDefault="00F728EF" w:rsidP="00F728EF">
      <w:pPr>
        <w:numPr>
          <w:ilvl w:val="0"/>
          <w:numId w:val="5"/>
        </w:numPr>
      </w:pPr>
      <w:r w:rsidRPr="00F728EF">
        <w:t xml:space="preserve">Liu, B., Zhang, J., Chen, Y., Wang, Y., &amp; Li, X. (2022). </w:t>
      </w:r>
      <w:proofErr w:type="spellStart"/>
      <w:r w:rsidRPr="00F728EF">
        <w:rPr>
          <w:i/>
          <w:iCs/>
          <w:lang w:val="en-SG"/>
        </w:rPr>
        <w:t>FinRL</w:t>
      </w:r>
      <w:proofErr w:type="spellEnd"/>
      <w:r w:rsidRPr="00F728EF">
        <w:rPr>
          <w:i/>
          <w:iCs/>
          <w:lang w:val="en-SG"/>
        </w:rPr>
        <w:t>-Meta: Market environments and benchmarks for data-driven financial reinforcement learning</w:t>
      </w:r>
      <w:r w:rsidRPr="00F728EF">
        <w:rPr>
          <w:lang w:val="en-SG"/>
        </w:rPr>
        <w:t xml:space="preserve">. </w:t>
      </w:r>
      <w:proofErr w:type="spellStart"/>
      <w:r w:rsidRPr="00F728EF">
        <w:rPr>
          <w:lang w:val="en-SG"/>
        </w:rPr>
        <w:t>arXiv</w:t>
      </w:r>
      <w:proofErr w:type="spellEnd"/>
      <w:r w:rsidRPr="00F728EF">
        <w:rPr>
          <w:lang w:val="en-SG"/>
        </w:rPr>
        <w:t xml:space="preserve"> preprint arXiv:2211.03107. </w:t>
      </w:r>
      <w:hyperlink r:id="rId7" w:tgtFrame="_new" w:history="1">
        <w:r w:rsidRPr="00F728EF">
          <w:rPr>
            <w:rStyle w:val="Hyperlink"/>
          </w:rPr>
          <w:t>https://arxiv.org/abs/2211.03107</w:t>
        </w:r>
      </w:hyperlink>
    </w:p>
    <w:p w14:paraId="1759835E" w14:textId="77777777" w:rsidR="00F728EF" w:rsidRPr="00F728EF" w:rsidRDefault="00F728EF" w:rsidP="00F728EF">
      <w:pPr>
        <w:numPr>
          <w:ilvl w:val="0"/>
          <w:numId w:val="5"/>
        </w:numPr>
      </w:pPr>
      <w:r w:rsidRPr="00F728EF">
        <w:t xml:space="preserve">Liu, B., Zhang, J., Xie, Y., Chen, Y., Wang, Y., &amp; Li, X. (2023). </w:t>
      </w:r>
      <w:r w:rsidRPr="00F728EF">
        <w:rPr>
          <w:i/>
          <w:iCs/>
          <w:lang w:val="en-SG"/>
        </w:rPr>
        <w:t>Dynamic datasets and market environments for financial reinforcement learning</w:t>
      </w:r>
      <w:r w:rsidRPr="00F728EF">
        <w:rPr>
          <w:lang w:val="en-SG"/>
        </w:rPr>
        <w:t xml:space="preserve">. </w:t>
      </w:r>
      <w:proofErr w:type="spellStart"/>
      <w:r w:rsidRPr="00F728EF">
        <w:rPr>
          <w:lang w:val="en-SG"/>
        </w:rPr>
        <w:t>arXiv</w:t>
      </w:r>
      <w:proofErr w:type="spellEnd"/>
      <w:r w:rsidRPr="00F728EF">
        <w:rPr>
          <w:lang w:val="en-SG"/>
        </w:rPr>
        <w:t xml:space="preserve"> preprint arXiv:2304.13174. </w:t>
      </w:r>
      <w:hyperlink r:id="rId8" w:tgtFrame="_new" w:history="1">
        <w:r w:rsidRPr="00F728EF">
          <w:rPr>
            <w:rStyle w:val="Hyperlink"/>
          </w:rPr>
          <w:t>https://arxiv.org/abs/2304.13174</w:t>
        </w:r>
      </w:hyperlink>
    </w:p>
    <w:p w14:paraId="0C9CC2AB" w14:textId="26F4755A" w:rsidR="00F728EF" w:rsidRPr="00F728EF" w:rsidRDefault="00F728EF" w:rsidP="00F728EF">
      <w:pPr>
        <w:numPr>
          <w:ilvl w:val="0"/>
          <w:numId w:val="5"/>
        </w:numPr>
      </w:pPr>
      <w:r w:rsidRPr="00F728EF">
        <w:t xml:space="preserve">Xu, Y., &amp; Cohen, S. B. (2018). </w:t>
      </w:r>
      <w:r w:rsidRPr="00F728EF">
        <w:rPr>
          <w:i/>
          <w:iCs/>
          <w:lang w:val="en-SG"/>
        </w:rPr>
        <w:t>Stock movement prediction from tweets and historical prices</w:t>
      </w:r>
      <w:r w:rsidRPr="00F728EF">
        <w:rPr>
          <w:lang w:val="en-SG"/>
        </w:rPr>
        <w:t xml:space="preserve">. Proceedings of the 56th Annual Meeting of the Association for Computational Linguistics (ACL 2018). </w:t>
      </w:r>
      <w:hyperlink r:id="rId9" w:tgtFrame="_new" w:history="1">
        <w:r w:rsidRPr="00F728EF">
          <w:rPr>
            <w:rStyle w:val="Hyperlink"/>
          </w:rPr>
          <w:t>https://github.com/yumoxu/stocknet-dataset</w:t>
        </w:r>
      </w:hyperlink>
    </w:p>
    <w:p w14:paraId="4DB0A3C0" w14:textId="77777777" w:rsidR="00F728EF" w:rsidRPr="00F728EF" w:rsidRDefault="00F728EF" w:rsidP="00F728EF">
      <w:pPr>
        <w:rPr>
          <w:lang w:val="en-SG"/>
        </w:rPr>
      </w:pPr>
    </w:p>
    <w:p w14:paraId="100CE8E8" w14:textId="77777777" w:rsidR="00F728EF" w:rsidRPr="00F728EF" w:rsidRDefault="00F728EF">
      <w:pPr>
        <w:rPr>
          <w:lang w:val="en-SG"/>
        </w:rPr>
      </w:pPr>
    </w:p>
    <w:sectPr w:rsidR="00F728EF" w:rsidRPr="00F728E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A31A6"/>
    <w:multiLevelType w:val="multilevel"/>
    <w:tmpl w:val="E6C2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E448A5"/>
    <w:multiLevelType w:val="multilevel"/>
    <w:tmpl w:val="581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F6CA5"/>
    <w:multiLevelType w:val="multilevel"/>
    <w:tmpl w:val="8846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5635E7"/>
    <w:multiLevelType w:val="multilevel"/>
    <w:tmpl w:val="1A2A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412FE0"/>
    <w:multiLevelType w:val="multilevel"/>
    <w:tmpl w:val="E4F6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098355">
    <w:abstractNumId w:val="2"/>
  </w:num>
  <w:num w:numId="2" w16cid:durableId="808206181">
    <w:abstractNumId w:val="0"/>
  </w:num>
  <w:num w:numId="3" w16cid:durableId="1450929555">
    <w:abstractNumId w:val="1"/>
  </w:num>
  <w:num w:numId="4" w16cid:durableId="268708419">
    <w:abstractNumId w:val="4"/>
  </w:num>
  <w:num w:numId="5" w16cid:durableId="788821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EF"/>
    <w:rsid w:val="00802E6D"/>
    <w:rsid w:val="00F728E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9D19"/>
  <w15:chartTrackingRefBased/>
  <w15:docId w15:val="{81D6B9A4-5047-47A3-AC73-BCA2B712D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8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8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8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8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8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8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8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8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8EF"/>
    <w:rPr>
      <w:rFonts w:eastAsiaTheme="majorEastAsia" w:cstheme="majorBidi"/>
      <w:color w:val="272727" w:themeColor="text1" w:themeTint="D8"/>
    </w:rPr>
  </w:style>
  <w:style w:type="paragraph" w:styleId="Title">
    <w:name w:val="Title"/>
    <w:basedOn w:val="Normal"/>
    <w:next w:val="Normal"/>
    <w:link w:val="TitleChar"/>
    <w:uiPriority w:val="10"/>
    <w:qFormat/>
    <w:rsid w:val="00F72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8EF"/>
    <w:pPr>
      <w:spacing w:before="160"/>
      <w:jc w:val="center"/>
    </w:pPr>
    <w:rPr>
      <w:i/>
      <w:iCs/>
      <w:color w:val="404040" w:themeColor="text1" w:themeTint="BF"/>
    </w:rPr>
  </w:style>
  <w:style w:type="character" w:customStyle="1" w:styleId="QuoteChar">
    <w:name w:val="Quote Char"/>
    <w:basedOn w:val="DefaultParagraphFont"/>
    <w:link w:val="Quote"/>
    <w:uiPriority w:val="29"/>
    <w:rsid w:val="00F728EF"/>
    <w:rPr>
      <w:i/>
      <w:iCs/>
      <w:color w:val="404040" w:themeColor="text1" w:themeTint="BF"/>
    </w:rPr>
  </w:style>
  <w:style w:type="paragraph" w:styleId="ListParagraph">
    <w:name w:val="List Paragraph"/>
    <w:basedOn w:val="Normal"/>
    <w:uiPriority w:val="34"/>
    <w:qFormat/>
    <w:rsid w:val="00F728EF"/>
    <w:pPr>
      <w:ind w:left="720"/>
      <w:contextualSpacing/>
    </w:pPr>
  </w:style>
  <w:style w:type="character" w:styleId="IntenseEmphasis">
    <w:name w:val="Intense Emphasis"/>
    <w:basedOn w:val="DefaultParagraphFont"/>
    <w:uiPriority w:val="21"/>
    <w:qFormat/>
    <w:rsid w:val="00F728EF"/>
    <w:rPr>
      <w:i/>
      <w:iCs/>
      <w:color w:val="2F5496" w:themeColor="accent1" w:themeShade="BF"/>
    </w:rPr>
  </w:style>
  <w:style w:type="paragraph" w:styleId="IntenseQuote">
    <w:name w:val="Intense Quote"/>
    <w:basedOn w:val="Normal"/>
    <w:next w:val="Normal"/>
    <w:link w:val="IntenseQuoteChar"/>
    <w:uiPriority w:val="30"/>
    <w:qFormat/>
    <w:rsid w:val="00F72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8EF"/>
    <w:rPr>
      <w:i/>
      <w:iCs/>
      <w:color w:val="2F5496" w:themeColor="accent1" w:themeShade="BF"/>
    </w:rPr>
  </w:style>
  <w:style w:type="character" w:styleId="IntenseReference">
    <w:name w:val="Intense Reference"/>
    <w:basedOn w:val="DefaultParagraphFont"/>
    <w:uiPriority w:val="32"/>
    <w:qFormat/>
    <w:rsid w:val="00F728EF"/>
    <w:rPr>
      <w:b/>
      <w:bCs/>
      <w:smallCaps/>
      <w:color w:val="2F5496" w:themeColor="accent1" w:themeShade="BF"/>
      <w:spacing w:val="5"/>
    </w:rPr>
  </w:style>
  <w:style w:type="character" w:styleId="Hyperlink">
    <w:name w:val="Hyperlink"/>
    <w:basedOn w:val="DefaultParagraphFont"/>
    <w:uiPriority w:val="99"/>
    <w:unhideWhenUsed/>
    <w:rsid w:val="00F728EF"/>
    <w:rPr>
      <w:color w:val="0563C1" w:themeColor="hyperlink"/>
      <w:u w:val="single"/>
    </w:rPr>
  </w:style>
  <w:style w:type="character" w:styleId="UnresolvedMention">
    <w:name w:val="Unresolved Mention"/>
    <w:basedOn w:val="DefaultParagraphFont"/>
    <w:uiPriority w:val="99"/>
    <w:semiHidden/>
    <w:unhideWhenUsed/>
    <w:rsid w:val="00F72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4443">
      <w:bodyDiv w:val="1"/>
      <w:marLeft w:val="0"/>
      <w:marRight w:val="0"/>
      <w:marTop w:val="0"/>
      <w:marBottom w:val="0"/>
      <w:divBdr>
        <w:top w:val="none" w:sz="0" w:space="0" w:color="auto"/>
        <w:left w:val="none" w:sz="0" w:space="0" w:color="auto"/>
        <w:bottom w:val="none" w:sz="0" w:space="0" w:color="auto"/>
        <w:right w:val="none" w:sz="0" w:space="0" w:color="auto"/>
      </w:divBdr>
    </w:div>
    <w:div w:id="50423037">
      <w:bodyDiv w:val="1"/>
      <w:marLeft w:val="0"/>
      <w:marRight w:val="0"/>
      <w:marTop w:val="0"/>
      <w:marBottom w:val="0"/>
      <w:divBdr>
        <w:top w:val="none" w:sz="0" w:space="0" w:color="auto"/>
        <w:left w:val="none" w:sz="0" w:space="0" w:color="auto"/>
        <w:bottom w:val="none" w:sz="0" w:space="0" w:color="auto"/>
        <w:right w:val="none" w:sz="0" w:space="0" w:color="auto"/>
      </w:divBdr>
      <w:divsChild>
        <w:div w:id="1676036376">
          <w:marLeft w:val="0"/>
          <w:marRight w:val="0"/>
          <w:marTop w:val="0"/>
          <w:marBottom w:val="0"/>
          <w:divBdr>
            <w:top w:val="none" w:sz="0" w:space="0" w:color="auto"/>
            <w:left w:val="none" w:sz="0" w:space="0" w:color="auto"/>
            <w:bottom w:val="none" w:sz="0" w:space="0" w:color="auto"/>
            <w:right w:val="none" w:sz="0" w:space="0" w:color="auto"/>
          </w:divBdr>
          <w:divsChild>
            <w:div w:id="5517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6716">
      <w:bodyDiv w:val="1"/>
      <w:marLeft w:val="0"/>
      <w:marRight w:val="0"/>
      <w:marTop w:val="0"/>
      <w:marBottom w:val="0"/>
      <w:divBdr>
        <w:top w:val="none" w:sz="0" w:space="0" w:color="auto"/>
        <w:left w:val="none" w:sz="0" w:space="0" w:color="auto"/>
        <w:bottom w:val="none" w:sz="0" w:space="0" w:color="auto"/>
        <w:right w:val="none" w:sz="0" w:space="0" w:color="auto"/>
      </w:divBdr>
    </w:div>
    <w:div w:id="249168458">
      <w:bodyDiv w:val="1"/>
      <w:marLeft w:val="0"/>
      <w:marRight w:val="0"/>
      <w:marTop w:val="0"/>
      <w:marBottom w:val="0"/>
      <w:divBdr>
        <w:top w:val="none" w:sz="0" w:space="0" w:color="auto"/>
        <w:left w:val="none" w:sz="0" w:space="0" w:color="auto"/>
        <w:bottom w:val="none" w:sz="0" w:space="0" w:color="auto"/>
        <w:right w:val="none" w:sz="0" w:space="0" w:color="auto"/>
      </w:divBdr>
    </w:div>
    <w:div w:id="331876139">
      <w:bodyDiv w:val="1"/>
      <w:marLeft w:val="0"/>
      <w:marRight w:val="0"/>
      <w:marTop w:val="0"/>
      <w:marBottom w:val="0"/>
      <w:divBdr>
        <w:top w:val="none" w:sz="0" w:space="0" w:color="auto"/>
        <w:left w:val="none" w:sz="0" w:space="0" w:color="auto"/>
        <w:bottom w:val="none" w:sz="0" w:space="0" w:color="auto"/>
        <w:right w:val="none" w:sz="0" w:space="0" w:color="auto"/>
      </w:divBdr>
    </w:div>
    <w:div w:id="598412336">
      <w:bodyDiv w:val="1"/>
      <w:marLeft w:val="0"/>
      <w:marRight w:val="0"/>
      <w:marTop w:val="0"/>
      <w:marBottom w:val="0"/>
      <w:divBdr>
        <w:top w:val="none" w:sz="0" w:space="0" w:color="auto"/>
        <w:left w:val="none" w:sz="0" w:space="0" w:color="auto"/>
        <w:bottom w:val="none" w:sz="0" w:space="0" w:color="auto"/>
        <w:right w:val="none" w:sz="0" w:space="0" w:color="auto"/>
      </w:divBdr>
    </w:div>
    <w:div w:id="751126865">
      <w:bodyDiv w:val="1"/>
      <w:marLeft w:val="0"/>
      <w:marRight w:val="0"/>
      <w:marTop w:val="0"/>
      <w:marBottom w:val="0"/>
      <w:divBdr>
        <w:top w:val="none" w:sz="0" w:space="0" w:color="auto"/>
        <w:left w:val="none" w:sz="0" w:space="0" w:color="auto"/>
        <w:bottom w:val="none" w:sz="0" w:space="0" w:color="auto"/>
        <w:right w:val="none" w:sz="0" w:space="0" w:color="auto"/>
      </w:divBdr>
    </w:div>
    <w:div w:id="807632479">
      <w:bodyDiv w:val="1"/>
      <w:marLeft w:val="0"/>
      <w:marRight w:val="0"/>
      <w:marTop w:val="0"/>
      <w:marBottom w:val="0"/>
      <w:divBdr>
        <w:top w:val="none" w:sz="0" w:space="0" w:color="auto"/>
        <w:left w:val="none" w:sz="0" w:space="0" w:color="auto"/>
        <w:bottom w:val="none" w:sz="0" w:space="0" w:color="auto"/>
        <w:right w:val="none" w:sz="0" w:space="0" w:color="auto"/>
      </w:divBdr>
    </w:div>
    <w:div w:id="887105060">
      <w:bodyDiv w:val="1"/>
      <w:marLeft w:val="0"/>
      <w:marRight w:val="0"/>
      <w:marTop w:val="0"/>
      <w:marBottom w:val="0"/>
      <w:divBdr>
        <w:top w:val="none" w:sz="0" w:space="0" w:color="auto"/>
        <w:left w:val="none" w:sz="0" w:space="0" w:color="auto"/>
        <w:bottom w:val="none" w:sz="0" w:space="0" w:color="auto"/>
        <w:right w:val="none" w:sz="0" w:space="0" w:color="auto"/>
      </w:divBdr>
    </w:div>
    <w:div w:id="930502147">
      <w:bodyDiv w:val="1"/>
      <w:marLeft w:val="0"/>
      <w:marRight w:val="0"/>
      <w:marTop w:val="0"/>
      <w:marBottom w:val="0"/>
      <w:divBdr>
        <w:top w:val="none" w:sz="0" w:space="0" w:color="auto"/>
        <w:left w:val="none" w:sz="0" w:space="0" w:color="auto"/>
        <w:bottom w:val="none" w:sz="0" w:space="0" w:color="auto"/>
        <w:right w:val="none" w:sz="0" w:space="0" w:color="auto"/>
      </w:divBdr>
    </w:div>
    <w:div w:id="1091774070">
      <w:bodyDiv w:val="1"/>
      <w:marLeft w:val="0"/>
      <w:marRight w:val="0"/>
      <w:marTop w:val="0"/>
      <w:marBottom w:val="0"/>
      <w:divBdr>
        <w:top w:val="none" w:sz="0" w:space="0" w:color="auto"/>
        <w:left w:val="none" w:sz="0" w:space="0" w:color="auto"/>
        <w:bottom w:val="none" w:sz="0" w:space="0" w:color="auto"/>
        <w:right w:val="none" w:sz="0" w:space="0" w:color="auto"/>
      </w:divBdr>
    </w:div>
    <w:div w:id="1173029790">
      <w:bodyDiv w:val="1"/>
      <w:marLeft w:val="0"/>
      <w:marRight w:val="0"/>
      <w:marTop w:val="0"/>
      <w:marBottom w:val="0"/>
      <w:divBdr>
        <w:top w:val="none" w:sz="0" w:space="0" w:color="auto"/>
        <w:left w:val="none" w:sz="0" w:space="0" w:color="auto"/>
        <w:bottom w:val="none" w:sz="0" w:space="0" w:color="auto"/>
        <w:right w:val="none" w:sz="0" w:space="0" w:color="auto"/>
      </w:divBdr>
    </w:div>
    <w:div w:id="1212107855">
      <w:bodyDiv w:val="1"/>
      <w:marLeft w:val="0"/>
      <w:marRight w:val="0"/>
      <w:marTop w:val="0"/>
      <w:marBottom w:val="0"/>
      <w:divBdr>
        <w:top w:val="none" w:sz="0" w:space="0" w:color="auto"/>
        <w:left w:val="none" w:sz="0" w:space="0" w:color="auto"/>
        <w:bottom w:val="none" w:sz="0" w:space="0" w:color="auto"/>
        <w:right w:val="none" w:sz="0" w:space="0" w:color="auto"/>
      </w:divBdr>
    </w:div>
    <w:div w:id="1368335405">
      <w:bodyDiv w:val="1"/>
      <w:marLeft w:val="0"/>
      <w:marRight w:val="0"/>
      <w:marTop w:val="0"/>
      <w:marBottom w:val="0"/>
      <w:divBdr>
        <w:top w:val="none" w:sz="0" w:space="0" w:color="auto"/>
        <w:left w:val="none" w:sz="0" w:space="0" w:color="auto"/>
        <w:bottom w:val="none" w:sz="0" w:space="0" w:color="auto"/>
        <w:right w:val="none" w:sz="0" w:space="0" w:color="auto"/>
      </w:divBdr>
    </w:div>
    <w:div w:id="1406301864">
      <w:bodyDiv w:val="1"/>
      <w:marLeft w:val="0"/>
      <w:marRight w:val="0"/>
      <w:marTop w:val="0"/>
      <w:marBottom w:val="0"/>
      <w:divBdr>
        <w:top w:val="none" w:sz="0" w:space="0" w:color="auto"/>
        <w:left w:val="none" w:sz="0" w:space="0" w:color="auto"/>
        <w:bottom w:val="none" w:sz="0" w:space="0" w:color="auto"/>
        <w:right w:val="none" w:sz="0" w:space="0" w:color="auto"/>
      </w:divBdr>
    </w:div>
    <w:div w:id="2063476000">
      <w:bodyDiv w:val="1"/>
      <w:marLeft w:val="0"/>
      <w:marRight w:val="0"/>
      <w:marTop w:val="0"/>
      <w:marBottom w:val="0"/>
      <w:divBdr>
        <w:top w:val="none" w:sz="0" w:space="0" w:color="auto"/>
        <w:left w:val="none" w:sz="0" w:space="0" w:color="auto"/>
        <w:bottom w:val="none" w:sz="0" w:space="0" w:color="auto"/>
        <w:right w:val="none" w:sz="0" w:space="0" w:color="auto"/>
      </w:divBdr>
      <w:divsChild>
        <w:div w:id="1754625504">
          <w:marLeft w:val="0"/>
          <w:marRight w:val="0"/>
          <w:marTop w:val="0"/>
          <w:marBottom w:val="0"/>
          <w:divBdr>
            <w:top w:val="none" w:sz="0" w:space="0" w:color="auto"/>
            <w:left w:val="none" w:sz="0" w:space="0" w:color="auto"/>
            <w:bottom w:val="none" w:sz="0" w:space="0" w:color="auto"/>
            <w:right w:val="none" w:sz="0" w:space="0" w:color="auto"/>
          </w:divBdr>
          <w:divsChild>
            <w:div w:id="9663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4.13174" TargetMode="External"/><Relationship Id="rId3" Type="http://schemas.openxmlformats.org/officeDocument/2006/relationships/settings" Target="settings.xml"/><Relationship Id="rId7" Type="http://schemas.openxmlformats.org/officeDocument/2006/relationships/hyperlink" Target="https://arxiv.org/abs/2211.031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811.07522" TargetMode="External"/><Relationship Id="rId11" Type="http://schemas.openxmlformats.org/officeDocument/2006/relationships/theme" Target="theme/theme1.xml"/><Relationship Id="rId5" Type="http://schemas.openxmlformats.org/officeDocument/2006/relationships/hyperlink" Target="https://arxiv.org/abs/2306.0305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yumoxu/stocknet-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2238</Words>
  <Characters>14103</Characters>
  <Application>Microsoft Office Word</Application>
  <DocSecurity>0</DocSecurity>
  <Lines>117</Lines>
  <Paragraphs>32</Paragraphs>
  <ScaleCrop>false</ScaleCrop>
  <Company/>
  <LinksUpToDate>false</LinksUpToDate>
  <CharactersWithSpaces>16309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Juandi</dc:creator>
  <cp:keywords/>
  <dc:description/>
  <cp:lastModifiedBy>Kevin Juandi</cp:lastModifiedBy>
  <cp:revision>1</cp:revision>
  <dcterms:created xsi:type="dcterms:W3CDTF">2025-05-15T17:52:00Z</dcterms:created>
  <dcterms:modified xsi:type="dcterms:W3CDTF">2025-05-15T17:59:00Z</dcterms:modified>
</cp:coreProperties>
</file>