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FFFFFF"/>
        <w:ind w:left="0" w:firstLine="0"/>
        <w:jc w:val="left"/>
        <w:rPr>
          <w:rFonts w:hint="default" w:ascii="var(--label-font-family)" w:hAnsi="var(--label-font-family)" w:eastAsia="var(--label-font-family)" w:cs="var(--label-font-family)"/>
          <w:i w:val="0"/>
          <w:iCs w:val="0"/>
          <w:caps w:val="0"/>
          <w:color w:val="002F36"/>
          <w:spacing w:val="0"/>
          <w:kern w:val="0"/>
          <w:sz w:val="21"/>
          <w:szCs w:val="21"/>
          <w:shd w:val="clear" w:fill="FFFFFF"/>
          <w:lang w:val="en-US" w:eastAsia="zh-CN" w:bidi="ar"/>
        </w:rPr>
      </w:pPr>
    </w:p>
    <w:p>
      <w:pPr>
        <w:keepNext w:val="0"/>
        <w:keepLines w:val="0"/>
        <w:widowControl/>
        <w:suppressLineNumbers w:val="0"/>
        <w:shd w:val="clear" w:fill="FFFFFF"/>
        <w:ind w:left="0" w:firstLine="1680" w:firstLineChars="700"/>
        <w:jc w:val="left"/>
        <w:rPr>
          <w:rFonts w:hint="eastAsia" w:ascii="宋体" w:hAnsi="宋体" w:eastAsia="宋体" w:cs="宋体"/>
          <w:i w:val="0"/>
          <w:iCs w:val="0"/>
          <w:caps w:val="0"/>
          <w:color w:val="002F36"/>
          <w:spacing w:val="0"/>
          <w:kern w:val="0"/>
          <w:sz w:val="24"/>
          <w:szCs w:val="24"/>
          <w:shd w:val="clear" w:fill="FFFFFF"/>
          <w:lang w:val="en-US" w:eastAsia="zh-CN" w:bidi="ar"/>
        </w:rPr>
      </w:pPr>
      <w:r>
        <w:rPr>
          <w:rFonts w:hint="eastAsia" w:ascii="宋体" w:hAnsi="宋体" w:eastAsia="宋体" w:cs="宋体"/>
          <w:i w:val="0"/>
          <w:iCs w:val="0"/>
          <w:caps w:val="0"/>
          <w:color w:val="002F36"/>
          <w:spacing w:val="0"/>
          <w:kern w:val="0"/>
          <w:sz w:val="24"/>
          <w:szCs w:val="24"/>
          <w:shd w:val="clear" w:fill="FFFFFF"/>
          <w:lang w:val="en-US" w:eastAsia="zh-CN" w:bidi="ar"/>
        </w:rPr>
        <w:t>欧洲太阳能灯误判需要能效标申诉成功案例</w:t>
      </w:r>
      <w:r>
        <w:rPr>
          <w:rFonts w:hint="eastAsia" w:ascii="宋体" w:hAnsi="宋体" w:eastAsia="宋体" w:cs="宋体"/>
          <w:i w:val="0"/>
          <w:iCs w:val="0"/>
          <w:caps w:val="0"/>
          <w:color w:val="002F36"/>
          <w:spacing w:val="0"/>
          <w:kern w:val="0"/>
          <w:sz w:val="24"/>
          <w:szCs w:val="24"/>
          <w:shd w:val="clear" w:fill="FFFFFF"/>
          <w:lang w:val="en-US" w:eastAsia="zh-CN" w:bidi="ar"/>
        </w:rPr>
        <w:br w:type="textWrapping"/>
      </w:r>
      <w:r>
        <w:rPr>
          <w:rFonts w:hint="eastAsia" w:ascii="宋体" w:hAnsi="宋体" w:eastAsia="宋体" w:cs="宋体"/>
          <w:i w:val="0"/>
          <w:iCs w:val="0"/>
          <w:caps w:val="0"/>
          <w:color w:val="002F36"/>
          <w:spacing w:val="0"/>
          <w:kern w:val="0"/>
          <w:sz w:val="24"/>
          <w:szCs w:val="24"/>
          <w:shd w:val="clear" w:fill="FFFFFF"/>
          <w:lang w:val="en-US" w:eastAsia="zh-CN" w:bidi="ar"/>
        </w:rPr>
        <w:br w:type="textWrapping"/>
      </w:r>
      <w:r>
        <w:rPr>
          <w:rFonts w:hint="eastAsia" w:ascii="宋体" w:hAnsi="宋体" w:eastAsia="宋体" w:cs="宋体"/>
          <w:i w:val="0"/>
          <w:iCs w:val="0"/>
          <w:caps w:val="0"/>
          <w:color w:val="002F36"/>
          <w:spacing w:val="0"/>
          <w:kern w:val="0"/>
          <w:sz w:val="24"/>
          <w:szCs w:val="24"/>
          <w:shd w:val="clear" w:fill="FFFFFF"/>
          <w:lang w:val="en-US" w:eastAsia="zh-CN" w:bidi="ar"/>
        </w:rPr>
        <w:t>通过申诉路径，开个case，亚马逊就会向你索要</w:t>
      </w:r>
      <w:r>
        <w:rPr>
          <w:rFonts w:hint="eastAsia" w:ascii="宋体" w:hAnsi="宋体" w:eastAsia="宋体" w:cs="宋体"/>
          <w:i w:val="0"/>
          <w:iCs w:val="0"/>
          <w:caps w:val="0"/>
          <w:color w:val="002F36"/>
          <w:spacing w:val="0"/>
          <w:kern w:val="0"/>
          <w:sz w:val="24"/>
          <w:szCs w:val="24"/>
          <w:shd w:val="clear" w:fill="FFFFFF"/>
          <w:lang w:val="en-US" w:eastAsia="zh-CN" w:bidi="ar"/>
        </w:rPr>
        <w:br w:type="textWrapping"/>
      </w:r>
      <w:r>
        <w:rPr>
          <w:rFonts w:hint="eastAsia" w:ascii="宋体" w:hAnsi="宋体" w:eastAsia="宋体" w:cs="宋体"/>
          <w:i w:val="0"/>
          <w:iCs w:val="0"/>
          <w:caps w:val="0"/>
          <w:color w:val="002F36"/>
          <w:spacing w:val="0"/>
          <w:sz w:val="24"/>
          <w:szCs w:val="24"/>
          <w:shd w:val="clear" w:fill="FFFFFF"/>
        </w:rPr>
        <w:t>-确切的豁免法规</w:t>
      </w:r>
      <w:r>
        <w:rPr>
          <w:rFonts w:hint="eastAsia" w:ascii="宋体" w:hAnsi="宋体" w:eastAsia="宋体" w:cs="宋体"/>
          <w:i w:val="0"/>
          <w:iCs w:val="0"/>
          <w:caps w:val="0"/>
          <w:color w:val="002F36"/>
          <w:spacing w:val="0"/>
          <w:sz w:val="24"/>
          <w:szCs w:val="24"/>
          <w:shd w:val="clear" w:fill="FFFFFF"/>
        </w:rPr>
        <w:br w:type="textWrapping"/>
      </w:r>
      <w:r>
        <w:rPr>
          <w:rFonts w:hint="eastAsia" w:ascii="宋体" w:hAnsi="宋体" w:eastAsia="宋体" w:cs="宋体"/>
          <w:i w:val="0"/>
          <w:iCs w:val="0"/>
          <w:caps w:val="0"/>
          <w:color w:val="002F36"/>
          <w:spacing w:val="0"/>
          <w:sz w:val="24"/>
          <w:szCs w:val="24"/>
          <w:shd w:val="clear" w:fill="FFFFFF"/>
        </w:rPr>
        <w:t xml:space="preserve"> -它如何适用于您的ASIN</w:t>
      </w:r>
    </w:p>
    <w:p>
      <w:pPr>
        <w:keepNext w:val="0"/>
        <w:keepLines w:val="0"/>
        <w:widowControl/>
        <w:suppressLineNumbers w:val="0"/>
        <w:shd w:val="clear" w:fill="FFFFFF"/>
        <w:ind w:left="0" w:firstLine="0"/>
        <w:jc w:val="left"/>
        <w:rPr>
          <w:rFonts w:hint="eastAsia" w:ascii="宋体" w:hAnsi="宋体" w:eastAsia="宋体" w:cs="宋体"/>
          <w:i w:val="0"/>
          <w:iCs w:val="0"/>
          <w:caps w:val="0"/>
          <w:color w:val="002F36"/>
          <w:spacing w:val="0"/>
          <w:kern w:val="0"/>
          <w:sz w:val="24"/>
          <w:szCs w:val="24"/>
          <w:shd w:val="clear" w:fill="FFFFFF"/>
          <w:lang w:val="en-US" w:eastAsia="zh-CN" w:bidi="ar"/>
        </w:rPr>
      </w:pPr>
    </w:p>
    <w:p>
      <w:pPr>
        <w:keepNext w:val="0"/>
        <w:keepLines w:val="0"/>
        <w:widowControl/>
        <w:suppressLineNumbers w:val="0"/>
        <w:shd w:val="clear" w:fill="FFFFFF"/>
        <w:ind w:left="0" w:firstLine="0"/>
        <w:jc w:val="left"/>
        <w:rPr>
          <w:rFonts w:hint="eastAsia" w:ascii="宋体" w:hAnsi="宋体" w:eastAsia="宋体" w:cs="宋体"/>
          <w:i w:val="0"/>
          <w:iCs w:val="0"/>
          <w:caps w:val="0"/>
          <w:color w:val="002F36"/>
          <w:spacing w:val="0"/>
          <w:sz w:val="24"/>
          <w:szCs w:val="24"/>
        </w:rPr>
      </w:pPr>
      <w:r>
        <w:rPr>
          <w:rFonts w:hint="eastAsia" w:ascii="宋体" w:hAnsi="宋体" w:eastAsia="宋体" w:cs="宋体"/>
          <w:i w:val="0"/>
          <w:iCs w:val="0"/>
          <w:caps w:val="0"/>
          <w:color w:val="002F36"/>
          <w:spacing w:val="0"/>
          <w:kern w:val="0"/>
          <w:sz w:val="24"/>
          <w:szCs w:val="24"/>
          <w:shd w:val="clear" w:fill="FFFFFF"/>
          <w:lang w:val="en-US" w:eastAsia="zh-CN" w:bidi="ar"/>
        </w:rPr>
        <w:t>-确切的豁免法规:</w:t>
      </w:r>
    </w:p>
    <w:p>
      <w:pPr>
        <w:keepNext w:val="0"/>
        <w:keepLines w:val="0"/>
        <w:widowControl/>
        <w:suppressLineNumbers w:val="0"/>
        <w:shd w:val="clear" w:fill="FFFFFF"/>
        <w:ind w:left="0" w:firstLine="0"/>
        <w:jc w:val="left"/>
        <w:rPr>
          <w:rFonts w:hint="eastAsia" w:ascii="宋体" w:hAnsi="宋体" w:eastAsia="宋体" w:cs="宋体"/>
          <w:i w:val="0"/>
          <w:iCs w:val="0"/>
          <w:caps w:val="0"/>
          <w:color w:val="002F36"/>
          <w:spacing w:val="0"/>
          <w:sz w:val="24"/>
          <w:szCs w:val="24"/>
        </w:rPr>
      </w:pPr>
      <w:r>
        <w:rPr>
          <w:rFonts w:hint="eastAsia" w:ascii="宋体" w:hAnsi="宋体" w:eastAsia="宋体" w:cs="宋体"/>
          <w:i w:val="0"/>
          <w:iCs w:val="0"/>
          <w:caps w:val="0"/>
          <w:color w:val="002F36"/>
          <w:spacing w:val="0"/>
          <w:kern w:val="0"/>
          <w:sz w:val="24"/>
          <w:szCs w:val="24"/>
          <w:shd w:val="clear" w:fill="FFFFFF"/>
          <w:lang w:val="en-US" w:eastAsia="zh-CN" w:bidi="ar"/>
        </w:rPr>
        <w:t>通过查询能源标签和生态设计的规则和要求 https://commission.europa.eu/energy-climate-change-environment/standards-tools-and-labels/products-labelling-rules-and-requirements/energy-label-and-ecodesign/rules-and-requirements_en 查找到能源标签综合法规 (EU) 2021/340，点击法规链接，查找到法规文件EUR-Lex - 32019R2015 - EN 这个已经是确切的文件，我希望你能在阅读了法规内容之后再做判断，这样对我们来说更加公平。我将涉及的文字内容分享给你，帮助你理解这个法规。欧盟也没有第二份法规涉及到灯具的能效标法规，请知悉。 法规链接：https://eur-lex.europa.eu/legal-content/EN/TXT/?qid=1575537561243&amp;uri=CELEX:32019R2015#ntr4-L_2019315EN.01006801-E0004 第二页，关于新的能源标签适用范围说明中，第2点，已经很清楚的描述了本条法规，不适用的产品范围。This Regulation shall not apply to light sources specified in points 1 and 2 of Annex IV ！！！ Article 1 Subject matter and scope 1. This Regulation establishes requirements for the labelling of, and the provision of supplementary product information on, light sources with or without integrated control gear. The requirements also apply to light sources placed on the market in a containing product. 2. This Regulation shall not apply to light sources specified in points 1 and 2 of Annex IV. 3. Light sources specified in point 3 of Annex IV shall comply only with the requirements in point 4 of Annex V 在附件五中，第2点的法规不适用产品清单中，很清晰的提到了solar-powered garden lamps，我们的产品正是属于太阳能花园灯，也就是说，我们的产品是属于关于法规中规定的豁免产品。 2. In addition, this Regulation shall not apply to: (a) electronic displays (e.g. televisions, computer monitors, notebooks, tablets, mobile phones, e-readers, game consoles), including but not limited to displays within the scope of Commission Regulation (EU) 2019/2021 ( 13) and of Commission Regulation (EU) No 617/2013 ( 14); (b) light sources in range hoods within the scope of Commission Delegated Regulation (EU) No 65/2014 ( 15); (c) light sources in battery-operated products, including but not limited to e.g. torches, mobile phones with an integrated torch light, toys including light sources, desk lamps operating only on batteries, armband lamps for cyclists, solar-powered garden lamps; (d) light sources on bicycles and other non-motorised vehicles; (e) light sources for spectroscopy and photometric applications, such as for example UV-VIS spectroscopy, molecular spectroscopy, atomic absorption spectroscopy, nondispersive infrared (NDIR), fourier-transform infrared (FTIR), medical analysis, ellipsometry, layer thickness measurement, process monitoring or environmental monitoring. 综上，我们认为我们的产品是属于豁免商品，不需要注册能源标签。请尽快帮我们恢复链接。</w:t>
      </w:r>
    </w:p>
    <w:p>
      <w:pPr>
        <w:rPr>
          <w:rFonts w:hint="eastAsia" w:ascii="宋体" w:hAnsi="宋体" w:eastAsia="宋体" w:cs="宋体"/>
          <w:sz w:val="24"/>
          <w:szCs w:val="24"/>
        </w:rPr>
      </w:pPr>
    </w:p>
    <w:p>
      <w:pPr>
        <w:rPr>
          <w:rFonts w:hint="eastAsia" w:ascii="宋体" w:hAnsi="宋体" w:eastAsia="宋体" w:cs="宋体"/>
          <w:sz w:val="24"/>
          <w:szCs w:val="24"/>
          <w:lang w:eastAsia="zh-CN"/>
        </w:rPr>
      </w:pPr>
      <w:r>
        <w:rPr>
          <w:rFonts w:hint="eastAsia" w:ascii="宋体" w:hAnsi="宋体" w:eastAsia="宋体" w:cs="宋体"/>
          <w:sz w:val="24"/>
          <w:szCs w:val="24"/>
          <w:lang w:eastAsia="zh-CN"/>
        </w:rPr>
        <w:object>
          <v:shape id="_x0000_i1025" o:spt="75" type="#_x0000_t75" style="height:66pt;width:72.75pt;" o:ole="t" filled="f" o:preferrelative="t" stroked="f" coordsize="21600,21600">
            <v:path/>
            <v:fill on="f" focussize="0,0"/>
            <v:stroke on="f"/>
            <v:imagedata r:id="rId5" o:title=""/>
            <o:lock v:ext="edit" aspectratio="t"/>
            <w10:wrap type="none"/>
            <w10:anchorlock/>
          </v:shape>
          <o:OLEObject Type="Embed" ProgID="Package" ShapeID="_x0000_i1025" DrawAspect="Icon" ObjectID="_1468075725" r:id="rId4">
            <o:LockedField>false</o:LockedField>
          </o:OLEObject>
        </w:object>
      </w:r>
      <w:r>
        <w:rPr>
          <w:rFonts w:hint="eastAsia" w:ascii="宋体" w:hAnsi="宋体" w:eastAsia="宋体" w:cs="宋体"/>
          <w:sz w:val="24"/>
          <w:szCs w:val="24"/>
          <w:lang w:eastAsia="zh-CN"/>
        </w:rPr>
        <w:drawing>
          <wp:inline distT="0" distB="0" distL="114300" distR="114300">
            <wp:extent cx="5272405" cy="1845310"/>
            <wp:effectExtent l="0" t="0" r="4445" b="2540"/>
            <wp:docPr id="1" name="图片 1" descr="豁免内容截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豁免内容截图2"/>
                    <pic:cNvPicPr>
                      <a:picLocks noChangeAspect="1"/>
                    </pic:cNvPicPr>
                  </pic:nvPicPr>
                  <pic:blipFill>
                    <a:blip r:embed="rId6"/>
                    <a:stretch>
                      <a:fillRect/>
                    </a:stretch>
                  </pic:blipFill>
                  <pic:spPr>
                    <a:xfrm>
                      <a:off x="0" y="0"/>
                      <a:ext cx="5272405" cy="1845310"/>
                    </a:xfrm>
                    <a:prstGeom prst="rect">
                      <a:avLst/>
                    </a:prstGeom>
                  </pic:spPr>
                </pic:pic>
              </a:graphicData>
            </a:graphic>
          </wp:inline>
        </w:drawing>
      </w:r>
      <w:r>
        <w:rPr>
          <w:rFonts w:hint="eastAsia" w:ascii="宋体" w:hAnsi="宋体" w:eastAsia="宋体" w:cs="宋体"/>
          <w:sz w:val="24"/>
          <w:szCs w:val="24"/>
          <w:lang w:eastAsia="zh-CN"/>
        </w:rPr>
        <w:drawing>
          <wp:inline distT="0" distB="0" distL="114300" distR="114300">
            <wp:extent cx="5271770" cy="5752465"/>
            <wp:effectExtent l="0" t="0" r="5080" b="635"/>
            <wp:docPr id="2" name="图片 2" descr="豁免内容截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豁免内容截图"/>
                    <pic:cNvPicPr>
                      <a:picLocks noChangeAspect="1"/>
                    </pic:cNvPicPr>
                  </pic:nvPicPr>
                  <pic:blipFill>
                    <a:blip r:embed="rId7"/>
                    <a:stretch>
                      <a:fillRect/>
                    </a:stretch>
                  </pic:blipFill>
                  <pic:spPr>
                    <a:xfrm>
                      <a:off x="0" y="0"/>
                      <a:ext cx="5271770" cy="5752465"/>
                    </a:xfrm>
                    <a:prstGeom prst="rect">
                      <a:avLst/>
                    </a:prstGeom>
                  </pic:spPr>
                </pic:pic>
              </a:graphicData>
            </a:graphic>
          </wp:inline>
        </w:drawing>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var(--label-font-famil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g3YWZlZDkwOTYwNTNhNWVhYzk5Mzc0OWM2ZDM0YzcifQ=="/>
  </w:docVars>
  <w:rsids>
    <w:rsidRoot w:val="498315C3"/>
    <w:rsid w:val="498315C3"/>
    <w:rsid w:val="5BB85909"/>
    <w:rsid w:val="73D00E12"/>
    <w:rsid w:val="79E402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634</Words>
  <Characters>2187</Characters>
  <Lines>0</Lines>
  <Paragraphs>0</Paragraphs>
  <TotalTime>9</TotalTime>
  <ScaleCrop>false</ScaleCrop>
  <LinksUpToDate>false</LinksUpToDate>
  <CharactersWithSpaces>2454</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2023-04-11T07:31:00Z</dcterms:created>
  <dc:creator>零</dc:creator>
  <cp:lastModifiedBy>心傷找誰</cp:lastModifiedBy>
  <dcterms:modified xsi:type="dcterms:W3CDTF">2023-04-14T09:56:55Z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C27BD6F692C841359DF9BFB9E193BE33_13</vt:lpwstr>
  </property>
</Properties>
</file>