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多SKU捡漏广告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捡漏广告A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所有产品or 同类产品 or 表现好的产品 or 表现差的产品 放在一个广告组里 自动 固定竞价 0.1-0.3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捡漏广告 B  *2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所有产品or 同类产品 or 表现好的产品 or 表现差的产品    自动 固定/只降低 0.02-0.1 Bid+ 400%-900% 首页 or Asin 页面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捡漏广告 C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所有产品or 同类产品 or 表现好的产品 or 表现差的产品  自动 动态 竞价0.02-0.1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捡漏广告 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品牌旗舰店主页产品/细分小页  品牌广告-商品定位-类目 0.1-0.3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单SKU捡漏广告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捡漏广告D * 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单SKU 自动 固定 竞价0.02-0.05 Bid + 400%-900%  首页 or Asin页面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捡漏广告E * 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单SKU 自动 动态 竞价0.02-0.03 Bid + 100%-900%  首页 or Asin页面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捡漏广告F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单SKU 展示广告-CPC投放 - 商品类目 0.1-0.3       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4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Office_11.3.0.9221_F1E327BC-269C-435d-A152-05C5408002CA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2021-11-17T05:18:09Z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</Properties>
</file>