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ADAPT 선속도 입력 노이즈와</w:t>
        <w:br/>
        <w:t>지연에 따른 보행 성능 평가</w:t>
      </w:r>
    </w:p>
    <w:p>
      <w:pPr>
        <w:pStyle w:val="Subtitle"/>
      </w:pPr>
      <w:r>
        <w:rPr>
          <w:b w:val="0"/>
        </w:rPr>
        <w:t>actor와 observer가 공유하는 오차에 대한 평면 속도 추종 평가</w:t>
      </w:r>
    </w:p>
    <w:p>
      <w:pPr>
        <w:pStyle w:val="Caption"/>
      </w:pPr>
      <w:r>
        <w:rPr>
          <w:b w:val="0"/>
        </w:rPr>
        <w:t>평가일 2026년 10월 21일   |   고정된 Stage 2 정책   |   로컬 RTX 4080 SUPER</w:t>
      </w:r>
    </w:p>
    <w:p>
      <w:pPr>
        <w:pStyle w:val="Heading1"/>
      </w:pPr>
      <w:r>
        <w:t>1 평가 목적과 핵심 결과</w:t>
      </w:r>
    </w:p>
    <w:p>
      <w:r>
        <w:rPr>
          <w:b w:val="0"/>
        </w:rPr>
        <w:t>선속도 측정에 노이즈와 지연이 생겼을 때 ADAPT의 보행 성능이 얼마나 달라지는지 평가했다. actor와 운동량 기반 observer에 동일한 측정 오차를 전달하고, 전진과 좌우 오차를 합친 평면 속도 벡터 RMSE를 대표 지표로 사용했다.</w:t>
      </w:r>
    </w:p>
    <w:p>
      <w:r>
        <w:rPr>
          <w:b/>
        </w:rPr>
        <w:t>노이즈 ±0.05 m/s에서 평면 속도 RMSE는 무지연 0.0794 m/s, 40 ms 지연 0.0799 m/s로 거의 같았다. 전진 축만 보았을 때의 개선은 좌우 오차 증가로 상쇄됐다. 120 ms 지연에서는 0.1426 m/s로 무지연 대비 약 79.5% 증가했다.</w:t>
      </w:r>
    </w:p>
    <w:p>
      <w:r>
        <w:rPr>
          <w:b w:val="0"/>
        </w:rPr>
        <w:t>총 750회의 30초 시험에서 낙상은 없었다. 그러나 선속도 무오차·무지연 기준에서도 평균 절대 방향 드리프트가 약 40°였다. 따라서 낙상 없이 걷는 능력과 직선 경로를 유지하는 능력은 별도로 판단해야 한다.</w:t>
      </w:r>
    </w:p>
    <w:p>
      <w:pPr>
        <w:pStyle w:val="Heading1"/>
      </w:pPr>
      <w:r>
        <w:t>2 실험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824"/>
      </w:tblGrid>
      <w:tr>
        <w:trPr>
          <w:cantSplit/>
          <w:tblHeader/>
        </w:trPr>
        <w:tc>
          <w:tcPr>
            <w:tcW w:type="dxa" w:w="1814"/>
            <w:vAlign w:val="center"/>
            <w:tcMar>
              <w:top w:w="80" w:type="dxa"/>
              <w:left w:w="80" w:type="dxa"/>
              <w:bottom w:w="80" w:type="dxa"/>
              <w:right w:w="80" w:type="dxa"/>
            </w:tcMar>
            <w:shd w:fill="E4EDF4"/>
          </w:tcPr>
          <w:p>
            <w:pPr>
              <w:spacing w:after="0" w:line="270" w:lineRule="exact"/>
              <w:jc w:val="center"/>
            </w:pPr>
            <w:r>
              <w:rPr>
                <w:b/>
                <w:sz w:val="18"/>
              </w:rPr>
              <w:t>항목</w:t>
            </w:r>
          </w:p>
        </w:tc>
        <w:tc>
          <w:tcPr>
            <w:tcW w:type="dxa" w:w="7824"/>
            <w:vAlign w:val="center"/>
            <w:tcMar>
              <w:top w:w="80" w:type="dxa"/>
              <w:left w:w="80" w:type="dxa"/>
              <w:bottom w:w="80" w:type="dxa"/>
              <w:right w:w="80" w:type="dxa"/>
            </w:tcMar>
            <w:shd w:fill="E4EDF4"/>
          </w:tcPr>
          <w:p>
            <w:pPr>
              <w:spacing w:after="0" w:line="270" w:lineRule="exact"/>
              <w:jc w:val="left"/>
            </w:pPr>
            <w:r>
              <w:rPr>
                <w:b/>
                <w:sz w:val="18"/>
              </w:rPr>
              <w:t>설정</w:t>
            </w:r>
          </w:p>
        </w:tc>
      </w:tr>
      <w:tr>
        <w:trPr>
          <w:cantSplit/>
        </w:trPr>
        <w:tc>
          <w:tcPr>
            <w:tcW w:type="dxa" w:w="1814"/>
            <w:vAlign w:val="center"/>
            <w:tcMar>
              <w:top w:w="80" w:type="dxa"/>
              <w:left w:w="80" w:type="dxa"/>
              <w:bottom w:w="80" w:type="dxa"/>
              <w:right w:w="80" w:type="dxa"/>
            </w:tcMar>
            <w:shd w:fill="F7F9FB"/>
          </w:tcPr>
          <w:p>
            <w:pPr>
              <w:spacing w:after="0" w:line="270" w:lineRule="exact"/>
              <w:jc w:val="center"/>
            </w:pPr>
            <w:r>
              <w:rPr>
                <w:b w:val="0"/>
                <w:sz w:val="18"/>
              </w:rPr>
              <w:t>정책</w:t>
            </w:r>
          </w:p>
        </w:tc>
        <w:tc>
          <w:tcPr>
            <w:tcW w:type="dxa" w:w="7824"/>
            <w:vAlign w:val="center"/>
            <w:tcMar>
              <w:top w:w="80" w:type="dxa"/>
              <w:left w:w="80" w:type="dxa"/>
              <w:bottom w:w="80" w:type="dxa"/>
              <w:right w:w="80" w:type="dxa"/>
            </w:tcMar>
            <w:shd w:fill="F7F9FB"/>
          </w:tcPr>
          <w:p>
            <w:pPr>
              <w:spacing w:after="0" w:line="270" w:lineRule="exact"/>
              <w:jc w:val="left"/>
            </w:pPr>
            <w:r>
              <w:rPr>
                <w:b w:val="0"/>
                <w:sz w:val="18"/>
              </w:rPr>
              <w:t>Stage 2 model_34998.pt 한 개를 고정하여 평가</w:t>
            </w:r>
          </w:p>
        </w:tc>
      </w:tr>
      <w:tr>
        <w:trPr>
          <w:cantSplit/>
        </w:trPr>
        <w:tc>
          <w:tcPr>
            <w:tcW w:type="dxa" w:w="1814"/>
            <w:vAlign w:val="center"/>
            <w:tcMar>
              <w:top w:w="80" w:type="dxa"/>
              <w:left w:w="80" w:type="dxa"/>
              <w:bottom w:w="80" w:type="dxa"/>
              <w:right w:w="80" w:type="dxa"/>
            </w:tcMar>
            <w:shd w:fill="FFFFFF"/>
          </w:tcPr>
          <w:p>
            <w:pPr>
              <w:spacing w:after="0" w:line="270" w:lineRule="exact"/>
              <w:jc w:val="center"/>
            </w:pPr>
            <w:r>
              <w:rPr>
                <w:b w:val="0"/>
                <w:sz w:val="18"/>
              </w:rPr>
              <w:t>환경</w:t>
            </w:r>
          </w:p>
        </w:tc>
        <w:tc>
          <w:tcPr>
            <w:tcW w:type="dxa" w:w="7824"/>
            <w:vAlign w:val="center"/>
            <w:tcMar>
              <w:top w:w="80" w:type="dxa"/>
              <w:left w:w="80" w:type="dxa"/>
              <w:bottom w:w="80" w:type="dxa"/>
              <w:right w:w="80" w:type="dxa"/>
            </w:tcMar>
            <w:shd w:fill="FFFFFF"/>
          </w:tcPr>
          <w:p>
            <w:pPr>
              <w:spacing w:after="0" w:line="270" w:lineRule="exact"/>
              <w:jc w:val="left"/>
            </w:pPr>
            <w:r>
              <w:rPr>
                <w:b w:val="0"/>
                <w:sz w:val="18"/>
              </w:rPr>
              <w:t>G1 평지 보행  외부 하중 없음</w:t>
            </w:r>
          </w:p>
        </w:tc>
      </w:tr>
      <w:tr>
        <w:trPr>
          <w:cantSplit/>
        </w:trPr>
        <w:tc>
          <w:tcPr>
            <w:tcW w:type="dxa" w:w="1814"/>
            <w:vAlign w:val="center"/>
            <w:tcMar>
              <w:top w:w="80" w:type="dxa"/>
              <w:left w:w="80" w:type="dxa"/>
              <w:bottom w:w="80" w:type="dxa"/>
              <w:right w:w="80" w:type="dxa"/>
            </w:tcMar>
            <w:shd w:fill="F7F9FB"/>
          </w:tcPr>
          <w:p>
            <w:pPr>
              <w:spacing w:after="0" w:line="270" w:lineRule="exact"/>
              <w:jc w:val="center"/>
            </w:pPr>
            <w:r>
              <w:rPr>
                <w:b w:val="0"/>
                <w:sz w:val="18"/>
              </w:rPr>
              <w:t>시간 간격</w:t>
            </w:r>
          </w:p>
        </w:tc>
        <w:tc>
          <w:tcPr>
            <w:tcW w:type="dxa" w:w="7824"/>
            <w:vAlign w:val="center"/>
            <w:tcMar>
              <w:top w:w="80" w:type="dxa"/>
              <w:left w:w="80" w:type="dxa"/>
              <w:bottom w:w="80" w:type="dxa"/>
              <w:right w:w="80" w:type="dxa"/>
            </w:tcMar>
            <w:shd w:fill="F7F9FB"/>
          </w:tcPr>
          <w:p>
            <w:pPr>
              <w:spacing w:after="0" w:line="270" w:lineRule="exact"/>
              <w:jc w:val="left"/>
            </w:pPr>
            <w:r>
              <w:rPr>
                <w:b w:val="0"/>
                <w:sz w:val="18"/>
              </w:rPr>
              <w:t>물리 1 ms  정책 및 선속도 측정 20 ms</w:t>
            </w:r>
          </w:p>
        </w:tc>
      </w:tr>
      <w:tr>
        <w:trPr>
          <w:cantSplit/>
        </w:trPr>
        <w:tc>
          <w:tcPr>
            <w:tcW w:type="dxa" w:w="1814"/>
            <w:vAlign w:val="center"/>
            <w:tcMar>
              <w:top w:w="80" w:type="dxa"/>
              <w:left w:w="80" w:type="dxa"/>
              <w:bottom w:w="80" w:type="dxa"/>
              <w:right w:w="80" w:type="dxa"/>
            </w:tcMar>
            <w:shd w:fill="FFFFFF"/>
          </w:tcPr>
          <w:p>
            <w:pPr>
              <w:spacing w:after="0" w:line="270" w:lineRule="exact"/>
              <w:jc w:val="center"/>
            </w:pPr>
            <w:r>
              <w:rPr>
                <w:b w:val="0"/>
                <w:sz w:val="18"/>
              </w:rPr>
              <w:t>명령</w:t>
            </w:r>
          </w:p>
        </w:tc>
        <w:tc>
          <w:tcPr>
            <w:tcW w:type="dxa" w:w="7824"/>
            <w:vAlign w:val="center"/>
            <w:tcMar>
              <w:top w:w="80" w:type="dxa"/>
              <w:left w:w="80" w:type="dxa"/>
              <w:bottom w:w="80" w:type="dxa"/>
              <w:right w:w="80" w:type="dxa"/>
            </w:tcMar>
            <w:shd w:fill="FFFFFF"/>
          </w:tcPr>
          <w:p>
            <w:pPr>
              <w:spacing w:after="0" w:line="270" w:lineRule="exact"/>
              <w:jc w:val="left"/>
            </w:pPr>
            <w:r>
              <w:rPr>
                <w:b w:val="0"/>
                <w:sz w:val="18"/>
              </w:rPr>
              <w:t>몸체 기준 vx = 0.8 m/s  vy = 0  yaw rate = 0</w:t>
            </w:r>
          </w:p>
        </w:tc>
      </w:tr>
      <w:tr>
        <w:trPr>
          <w:cantSplit/>
        </w:trPr>
        <w:tc>
          <w:tcPr>
            <w:tcW w:type="dxa" w:w="1814"/>
            <w:vAlign w:val="center"/>
            <w:tcMar>
              <w:top w:w="80" w:type="dxa"/>
              <w:left w:w="80" w:type="dxa"/>
              <w:bottom w:w="80" w:type="dxa"/>
              <w:right w:w="80" w:type="dxa"/>
            </w:tcMar>
            <w:shd w:fill="F7F9FB"/>
          </w:tcPr>
          <w:p>
            <w:pPr>
              <w:spacing w:after="0" w:line="270" w:lineRule="exact"/>
              <w:jc w:val="center"/>
            </w:pPr>
            <w:r>
              <w:rPr>
                <w:b w:val="0"/>
                <w:sz w:val="18"/>
              </w:rPr>
              <w:t>노이즈</w:t>
            </w:r>
          </w:p>
        </w:tc>
        <w:tc>
          <w:tcPr>
            <w:tcW w:type="dxa" w:w="7824"/>
            <w:vAlign w:val="center"/>
            <w:tcMar>
              <w:top w:w="80" w:type="dxa"/>
              <w:left w:w="80" w:type="dxa"/>
              <w:bottom w:w="80" w:type="dxa"/>
              <w:right w:w="80" w:type="dxa"/>
            </w:tcMar>
            <w:shd w:fill="F7F9FB"/>
          </w:tcPr>
          <w:p>
            <w:pPr>
              <w:spacing w:after="0" w:line="270" w:lineRule="exact"/>
              <w:jc w:val="left"/>
            </w:pPr>
            <w:r>
              <w:rPr>
                <w:b w:val="0"/>
                <w:sz w:val="18"/>
              </w:rPr>
              <w:t>xyz 각 축에 U(−a, a)</w:t>
              <w:br/>
              <w:t>a = 0, 0.05, 0.1, 0.2, 0.5 m/s</w:t>
            </w:r>
          </w:p>
        </w:tc>
      </w:tr>
      <w:tr>
        <w:trPr>
          <w:cantSplit/>
        </w:trPr>
        <w:tc>
          <w:tcPr>
            <w:tcW w:type="dxa" w:w="1814"/>
            <w:vAlign w:val="center"/>
            <w:tcMar>
              <w:top w:w="80" w:type="dxa"/>
              <w:left w:w="80" w:type="dxa"/>
              <w:bottom w:w="80" w:type="dxa"/>
              <w:right w:w="80" w:type="dxa"/>
            </w:tcMar>
            <w:shd w:fill="FFFFFF"/>
          </w:tcPr>
          <w:p>
            <w:pPr>
              <w:spacing w:after="0" w:line="270" w:lineRule="exact"/>
              <w:jc w:val="center"/>
            </w:pPr>
            <w:r>
              <w:rPr>
                <w:b w:val="0"/>
                <w:sz w:val="18"/>
              </w:rPr>
              <w:t>고정 지연</w:t>
            </w:r>
          </w:p>
        </w:tc>
        <w:tc>
          <w:tcPr>
            <w:tcW w:type="dxa" w:w="7824"/>
            <w:vAlign w:val="center"/>
            <w:tcMar>
              <w:top w:w="80" w:type="dxa"/>
              <w:left w:w="80" w:type="dxa"/>
              <w:bottom w:w="80" w:type="dxa"/>
              <w:right w:w="80" w:type="dxa"/>
            </w:tcMar>
            <w:shd w:fill="FFFFFF"/>
          </w:tcPr>
          <w:p>
            <w:pPr>
              <w:spacing w:after="0" w:line="270" w:lineRule="exact"/>
              <w:jc w:val="left"/>
            </w:pPr>
            <w:r>
              <w:rPr>
                <w:b w:val="0"/>
                <w:sz w:val="18"/>
              </w:rPr>
              <w:t>0, 20, 40, 80, 120 ms</w:t>
            </w:r>
          </w:p>
        </w:tc>
      </w:tr>
      <w:tr>
        <w:trPr>
          <w:cantSplit/>
        </w:trPr>
        <w:tc>
          <w:tcPr>
            <w:tcW w:type="dxa" w:w="1814"/>
            <w:vAlign w:val="center"/>
            <w:tcMar>
              <w:top w:w="80" w:type="dxa"/>
              <w:left w:w="80" w:type="dxa"/>
              <w:bottom w:w="80" w:type="dxa"/>
              <w:right w:w="80" w:type="dxa"/>
            </w:tcMar>
            <w:shd w:fill="F7F9FB"/>
          </w:tcPr>
          <w:p>
            <w:pPr>
              <w:spacing w:after="0" w:line="270" w:lineRule="exact"/>
              <w:jc w:val="center"/>
            </w:pPr>
            <w:r>
              <w:rPr>
                <w:b w:val="0"/>
                <w:sz w:val="18"/>
              </w:rPr>
              <w:t>반복</w:t>
            </w:r>
          </w:p>
        </w:tc>
        <w:tc>
          <w:tcPr>
            <w:tcW w:type="dxa" w:w="7824"/>
            <w:vAlign w:val="center"/>
            <w:tcMar>
              <w:top w:w="80" w:type="dxa"/>
              <w:left w:w="80" w:type="dxa"/>
              <w:bottom w:w="80" w:type="dxa"/>
              <w:right w:w="80" w:type="dxa"/>
            </w:tcMar>
            <w:shd w:fill="F7F9FB"/>
          </w:tcPr>
          <w:p>
            <w:pPr>
              <w:spacing w:after="0" w:line="270" w:lineRule="exact"/>
              <w:jc w:val="left"/>
            </w:pPr>
            <w:r>
              <w:rPr>
                <w:b w:val="0"/>
                <w:sz w:val="18"/>
              </w:rPr>
              <w:t>25조건 × 10회 × 3개 seed = 750회</w:t>
              <w:br/>
              <w:t>seed 42, 142, 242  조건당 30회</w:t>
            </w:r>
          </w:p>
        </w:tc>
      </w:tr>
      <w:tr>
        <w:trPr>
          <w:cantSplit/>
        </w:trPr>
        <w:tc>
          <w:tcPr>
            <w:tcW w:type="dxa" w:w="1814"/>
            <w:vAlign w:val="center"/>
            <w:tcMar>
              <w:top w:w="80" w:type="dxa"/>
              <w:left w:w="80" w:type="dxa"/>
              <w:bottom w:w="80" w:type="dxa"/>
              <w:right w:w="80" w:type="dxa"/>
            </w:tcMar>
            <w:shd w:fill="FFFFFF"/>
          </w:tcPr>
          <w:p>
            <w:pPr>
              <w:spacing w:after="0" w:line="270" w:lineRule="exact"/>
              <w:jc w:val="center"/>
            </w:pPr>
            <w:r>
              <w:rPr>
                <w:b w:val="0"/>
                <w:sz w:val="18"/>
              </w:rPr>
              <w:t>평가 구간</w:t>
            </w:r>
          </w:p>
        </w:tc>
        <w:tc>
          <w:tcPr>
            <w:tcW w:type="dxa" w:w="7824"/>
            <w:vAlign w:val="center"/>
            <w:tcMar>
              <w:top w:w="80" w:type="dxa"/>
              <w:left w:w="80" w:type="dxa"/>
              <w:bottom w:w="80" w:type="dxa"/>
              <w:right w:w="80" w:type="dxa"/>
            </w:tcMar>
            <w:shd w:fill="FFFFFF"/>
          </w:tcPr>
          <w:p>
            <w:pPr>
              <w:spacing w:after="0" w:line="270" w:lineRule="exact"/>
              <w:jc w:val="left"/>
            </w:pPr>
            <w:r>
              <w:rPr>
                <w:b w:val="0"/>
                <w:sz w:val="18"/>
              </w:rPr>
              <w:t>시험당 30초  추종 RMSE는 첫 2초 제외</w:t>
            </w:r>
          </w:p>
        </w:tc>
      </w:tr>
    </w:tbl>
    <w:p>
      <w:pPr>
        <w:spacing w:after="0" w:line="60" w:lineRule="exact"/>
      </w:pPr>
      <w:r>
        <w:rPr>
          <w:sz w:val="2"/>
        </w:rPr>
      </w:r>
    </w:p>
    <w:p>
      <w:pPr>
        <w:pStyle w:val="Caption"/>
      </w:pPr>
      <w:r>
        <w:rPr>
          <w:b w:val="0"/>
        </w:rPr>
        <w:t>자료 [1–3]. 모든 수치는 동일한 정책의 반복 실행 결과이며, 독립적으로 학습한 여러 모델의 비교가 아니다.</w:t>
      </w:r>
    </w:p>
    <w:p>
      <w:pPr>
        <w:pStyle w:val="Heading1"/>
        <w:pageBreakBefore/>
      </w:pPr>
      <w:r>
        <w:t>3 선속도 오차를 적용한 방식</w:t>
      </w:r>
    </w:p>
    <w:p>
      <w:r>
        <w:rPr>
          <w:b w:val="0"/>
        </w:rPr>
        <w:t>매 정책 주기에 몸체 좌표계의 IMU 선속도를 생성하고, 측정 노이즈를 한 번 적용한 뒤 FIFO 버퍼로 지연시켰다. actor는 이 측정값을 관측 이력에 넣는다. observer는 같은 센서 오차를 세계 좌표계의 root 선속도로 변환한 값을 사용해 이상 모델의 동역학과 운동량을 계산한다. 센서 위치와 root 원점의 차이는 각속도와 위치 오프셋으로 보정했다.</w:t>
      </w:r>
    </w:p>
    <w:p>
      <w:r>
        <w:rPr>
          <w:b w:val="0"/>
        </w:rPr>
        <w:t>추가한 노이즈와 지연은 선속도 xyz에 적용했다. 자세와 각속도는 현재 값을 유지했다. actor 각속도 노이즈는 ±0.2 rad/s, observer 각속도 노이즈는 0으로 고정했다. 공유 관절 위치 노이즈 ±0.01 rad, 관절 속도 노이즈 ±0.5 rad/s, encoder bias ±0.015 rad도 기존 조건을 유지했다.</w:t>
      </w:r>
    </w:p>
    <w:p>
      <w:pPr>
        <w:pStyle w:val="Heading1"/>
      </w:pPr>
      <w:r>
        <w:t>4 평면 속도 벡터 RMSE</w:t>
      </w:r>
    </w:p>
    <w:p>
      <w:pPr>
        <w:spacing w:line="240" w:lineRule="auto"/>
        <w:jc w:val="center"/>
      </w:pPr>
      <m:oMath>
        <m:sSub>
          <m:e>
            <m:r>
              <m:t>RMSE</m:t>
            </m:r>
          </m:e>
          <m:sub>
            <m:r>
              <m:t>xy</m:t>
            </m:r>
          </m:sub>
        </m:sSub>
        <m:r>
          <m:t> = </m:t>
        </m:r>
        <m:rad>
          <m:radPr>
            <m:degHide m:val="1"/>
          </m:radPr>
          <m:deg/>
          <m:e>
            <m:f>
              <m:num>
                <m:r>
                  <m:t>1</m:t>
                </m:r>
              </m:num>
              <m:den>
                <m:r>
                  <m:t>N</m:t>
                </m:r>
              </m:den>
            </m:f>
            <m:nary>
              <m:naryPr>
                <m:chr m:val="∑"/>
                <m:limLoc m:val="undOvr"/>
              </m:naryPr>
              <m:sub>
                <m:r>
                  <m:t>t = 1</m:t>
                </m:r>
              </m:sub>
              <m:sup>
                <m:r>
                  <m:t>N</m:t>
                </m:r>
              </m:sup>
              <m:e>
                <m:r>
                  <m:t>[</m:t>
                </m:r>
                <m:sSup>
                  <m:e>
                    <m:sSub>
                      <m:e>
                        <m:r>
                          <m:t>e</m:t>
                        </m:r>
                      </m:e>
                      <m:sub>
                        <m:r>
                          <m:t>x</m:t>
                        </m:r>
                      </m:sub>
                    </m:sSub>
                    <m:r>
                      <m:t>(t)</m:t>
                    </m:r>
                  </m:e>
                  <m:sup>
                    <m:r>
                      <m:t>2</m:t>
                    </m:r>
                  </m:sup>
                </m:sSup>
                <m:r>
                  <m:t> + </m:t>
                </m:r>
                <m:sSup>
                  <m:e>
                    <m:sSub>
                      <m:e>
                        <m:r>
                          <m:t>e</m:t>
                        </m:r>
                      </m:e>
                      <m:sub>
                        <m:r>
                          <m:t>y</m:t>
                        </m:r>
                      </m:sub>
                    </m:sSub>
                    <m:r>
                      <m:t>(t)</m:t>
                    </m:r>
                  </m:e>
                  <m:sup>
                    <m:r>
                      <m:t>2</m:t>
                    </m:r>
                  </m:sup>
                </m:sSup>
                <m:r>
                  <m:t>]</m:t>
                </m:r>
              </m:e>
            </m:nary>
          </m:e>
        </m:rad>
      </m:oMath>
    </w:p>
    <w:p>
      <w:r>
        <w:rPr>
          <w:b w:val="0"/>
        </w:rPr>
        <w:t>eₓ와 eᵧ는 각각 참값 몸체 속도와 명령의 차이이고, N은 평가 구간의 샘플 수다. 전진·좌우 오차의 제곱합을 시간 평균한 뒤 제곱근을 취하며, 축 개수 2로 나누지 않는다. 속도의 방향도 반영하는 지표로, 속력 크기만 비교하는 오차와 다르다.</w:t>
      </w:r>
    </w:p>
    <w:p>
      <w:r>
        <w:rPr>
          <w:b w:val="0"/>
        </w:rPr>
        <w:t>기존에 저장한 trial별 RMSE로 RMSE_xy = √(RMSE_x² + RMSE_y²)를 복원했다. 각 trial에서 합친 뒤 조건별 평균과 표준편차를 구했으며, 축별 평균값을 합산하지 않았다. 이번 재집계에는 시뮬레이션을 다시 실행하지 않았다. 수직 속도 z는 지표에 포함하지 않고, yaw rate RMSE는 rad/s 단위로 따로 보고한다.</w:t>
      </w:r>
    </w:p>
    <w:p>
      <w:pPr>
        <w:pStyle w:val="Caption"/>
      </w:pPr>
      <w:r>
        <w:rPr>
          <w:b w:val="0"/>
        </w:rPr>
        <w:t>표 1  전체 조건의 평면 속도 벡터 RMSE  평균 ± 표준편차  단위 m/s  조건당 30회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644"/>
        <w:gridCol w:w="1644"/>
        <w:gridCol w:w="1644"/>
        <w:gridCol w:w="1644"/>
        <w:gridCol w:w="1644"/>
      </w:tblGrid>
      <w:tr>
        <w:trPr>
          <w:cantSplit/>
          <w:tblHeader/>
        </w:trPr>
        <w:tc>
          <w:tcPr>
            <w:tcW w:type="dxa" w:w="1417"/>
            <w:vAlign w:val="center"/>
            <w:tcMar>
              <w:top w:w="80" w:type="dxa"/>
              <w:left w:w="80" w:type="dxa"/>
              <w:bottom w:w="80" w:type="dxa"/>
              <w:right w:w="80" w:type="dxa"/>
            </w:tcMar>
            <w:shd w:fill="E4EDF4"/>
          </w:tcPr>
          <w:p>
            <w:pPr>
              <w:spacing w:after="0" w:line="270" w:lineRule="exact"/>
              <w:jc w:val="center"/>
            </w:pPr>
            <w:r>
              <w:rPr>
                <w:b/>
                <w:sz w:val="18"/>
              </w:rPr>
              <w:t>노이즈</w:t>
              <w:br/>
              <w:t>m/s</w:t>
            </w:r>
          </w:p>
        </w:tc>
        <w:tc>
          <w:tcPr>
            <w:tcW w:type="dxa" w:w="1644"/>
            <w:vAlign w:val="center"/>
            <w:tcMar>
              <w:top w:w="80" w:type="dxa"/>
              <w:left w:w="80" w:type="dxa"/>
              <w:bottom w:w="80" w:type="dxa"/>
              <w:right w:w="80" w:type="dxa"/>
            </w:tcMar>
            <w:shd w:fill="E4EDF4"/>
          </w:tcPr>
          <w:p>
            <w:pPr>
              <w:spacing w:after="0" w:line="270" w:lineRule="exact"/>
              <w:jc w:val="center"/>
            </w:pPr>
            <w:r>
              <w:rPr>
                <w:b/>
                <w:sz w:val="18"/>
              </w:rPr>
              <w:t>0 ms</w:t>
            </w:r>
          </w:p>
        </w:tc>
        <w:tc>
          <w:tcPr>
            <w:tcW w:type="dxa" w:w="1644"/>
            <w:vAlign w:val="center"/>
            <w:tcMar>
              <w:top w:w="80" w:type="dxa"/>
              <w:left w:w="80" w:type="dxa"/>
              <w:bottom w:w="80" w:type="dxa"/>
              <w:right w:w="80" w:type="dxa"/>
            </w:tcMar>
            <w:shd w:fill="E4EDF4"/>
          </w:tcPr>
          <w:p>
            <w:pPr>
              <w:spacing w:after="0" w:line="270" w:lineRule="exact"/>
              <w:jc w:val="center"/>
            </w:pPr>
            <w:r>
              <w:rPr>
                <w:b/>
                <w:sz w:val="18"/>
              </w:rPr>
              <w:t>20 ms</w:t>
            </w:r>
          </w:p>
        </w:tc>
        <w:tc>
          <w:tcPr>
            <w:tcW w:type="dxa" w:w="1644"/>
            <w:vAlign w:val="center"/>
            <w:tcMar>
              <w:top w:w="80" w:type="dxa"/>
              <w:left w:w="80" w:type="dxa"/>
              <w:bottom w:w="80" w:type="dxa"/>
              <w:right w:w="80" w:type="dxa"/>
            </w:tcMar>
            <w:shd w:fill="E4EDF4"/>
          </w:tcPr>
          <w:p>
            <w:pPr>
              <w:spacing w:after="0" w:line="270" w:lineRule="exact"/>
              <w:jc w:val="center"/>
            </w:pPr>
            <w:r>
              <w:rPr>
                <w:b/>
                <w:sz w:val="18"/>
              </w:rPr>
              <w:t>40 ms</w:t>
            </w:r>
          </w:p>
        </w:tc>
        <w:tc>
          <w:tcPr>
            <w:tcW w:type="dxa" w:w="1644"/>
            <w:vAlign w:val="center"/>
            <w:tcMar>
              <w:top w:w="80" w:type="dxa"/>
              <w:left w:w="80" w:type="dxa"/>
              <w:bottom w:w="80" w:type="dxa"/>
              <w:right w:w="80" w:type="dxa"/>
            </w:tcMar>
            <w:shd w:fill="E4EDF4"/>
          </w:tcPr>
          <w:p>
            <w:pPr>
              <w:spacing w:after="0" w:line="270" w:lineRule="exact"/>
              <w:jc w:val="center"/>
            </w:pPr>
            <w:r>
              <w:rPr>
                <w:b/>
                <w:sz w:val="18"/>
              </w:rPr>
              <w:t>80 ms</w:t>
            </w:r>
          </w:p>
        </w:tc>
        <w:tc>
          <w:tcPr>
            <w:tcW w:type="dxa" w:w="1644"/>
            <w:vAlign w:val="center"/>
            <w:tcMar>
              <w:top w:w="80" w:type="dxa"/>
              <w:left w:w="80" w:type="dxa"/>
              <w:bottom w:w="80" w:type="dxa"/>
              <w:right w:w="80" w:type="dxa"/>
            </w:tcMar>
            <w:shd w:fill="E4EDF4"/>
          </w:tcPr>
          <w:p>
            <w:pPr>
              <w:spacing w:after="0" w:line="270" w:lineRule="exact"/>
              <w:jc w:val="center"/>
            </w:pPr>
            <w:r>
              <w:rPr>
                <w:b/>
                <w:sz w:val="18"/>
              </w:rPr>
              <w:t>120 ms</w:t>
            </w:r>
          </w:p>
        </w:tc>
      </w:tr>
      <w:tr>
        <w:trPr>
          <w:cantSplit/>
        </w:trPr>
        <w:tc>
          <w:tcPr>
            <w:tcW w:type="dxa" w:w="1417"/>
            <w:vAlign w:val="center"/>
            <w:tcMar>
              <w:top w:w="80" w:type="dxa"/>
              <w:left w:w="80" w:type="dxa"/>
              <w:bottom w:w="80" w:type="dxa"/>
              <w:right w:w="80" w:type="dxa"/>
            </w:tcMar>
            <w:shd w:fill="F7F9FB"/>
          </w:tcPr>
          <w:p>
            <w:pPr>
              <w:spacing w:after="0" w:line="270" w:lineRule="exact"/>
              <w:jc w:val="center"/>
            </w:pPr>
            <w:r>
              <w:rPr>
                <w:b w:val="0"/>
                <w:sz w:val="18"/>
              </w:rPr>
              <w:t>±0</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0.0788</w:t>
              <w:br/>
              <w:t>± 0.0060</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0.0742</w:t>
              <w:br/>
              <w:t>± 0.0047</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0.0757</w:t>
              <w:br/>
              <w:t>± 0.0045</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0.0924</w:t>
              <w:br/>
              <w:t>± 0.0038</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0.1434</w:t>
              <w:br/>
              <w:t>± 0.0095</w:t>
            </w:r>
          </w:p>
        </w:tc>
      </w:tr>
      <w:tr>
        <w:trPr>
          <w:cantSplit/>
        </w:trPr>
        <w:tc>
          <w:tcPr>
            <w:tcW w:type="dxa" w:w="1417"/>
            <w:vAlign w:val="center"/>
            <w:tcMar>
              <w:top w:w="80" w:type="dxa"/>
              <w:left w:w="80" w:type="dxa"/>
              <w:bottom w:w="80" w:type="dxa"/>
              <w:right w:w="80" w:type="dxa"/>
            </w:tcMar>
            <w:shd w:fill="FFFFFF"/>
          </w:tcPr>
          <w:p>
            <w:pPr>
              <w:spacing w:after="0" w:line="270" w:lineRule="exact"/>
              <w:jc w:val="center"/>
            </w:pPr>
            <w:r>
              <w:rPr>
                <w:b w:val="0"/>
                <w:sz w:val="18"/>
              </w:rPr>
              <w:t>±0.05</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0.0794</w:t>
              <w:br/>
              <w:t>± 0.0045</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0.0758</w:t>
              <w:br/>
              <w:t>± 0.0054</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0.0799</w:t>
              <w:br/>
              <w:t>± 0.0038</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0.0932</w:t>
              <w:br/>
              <w:t>± 0.0044</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0.1426</w:t>
              <w:br/>
              <w:t>± 0.0106</w:t>
            </w:r>
          </w:p>
        </w:tc>
      </w:tr>
      <w:tr>
        <w:trPr>
          <w:cantSplit/>
        </w:trPr>
        <w:tc>
          <w:tcPr>
            <w:tcW w:type="dxa" w:w="1417"/>
            <w:vAlign w:val="center"/>
            <w:tcMar>
              <w:top w:w="80" w:type="dxa"/>
              <w:left w:w="80" w:type="dxa"/>
              <w:bottom w:w="80" w:type="dxa"/>
              <w:right w:w="80" w:type="dxa"/>
            </w:tcMar>
            <w:shd w:fill="F7F9FB"/>
          </w:tcPr>
          <w:p>
            <w:pPr>
              <w:spacing w:after="0" w:line="270" w:lineRule="exact"/>
              <w:jc w:val="center"/>
            </w:pPr>
            <w:r>
              <w:rPr>
                <w:b w:val="0"/>
                <w:sz w:val="18"/>
              </w:rPr>
              <w:t>±0.1</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0.0826</w:t>
              <w:br/>
              <w:t>± 0.0054</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0.0810</w:t>
              <w:br/>
              <w:t>± 0.0051</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0.0855</w:t>
              <w:br/>
              <w:t>± 0.0039</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0.1036</w:t>
              <w:br/>
              <w:t>± 0.0048</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0.1436</w:t>
              <w:br/>
              <w:t>± 0.0082</w:t>
            </w:r>
          </w:p>
        </w:tc>
      </w:tr>
      <w:tr>
        <w:trPr>
          <w:cantSplit/>
        </w:trPr>
        <w:tc>
          <w:tcPr>
            <w:tcW w:type="dxa" w:w="1417"/>
            <w:vAlign w:val="center"/>
            <w:tcMar>
              <w:top w:w="80" w:type="dxa"/>
              <w:left w:w="80" w:type="dxa"/>
              <w:bottom w:w="80" w:type="dxa"/>
              <w:right w:w="80" w:type="dxa"/>
            </w:tcMar>
            <w:shd w:fill="FFFFFF"/>
          </w:tcPr>
          <w:p>
            <w:pPr>
              <w:spacing w:after="0" w:line="270" w:lineRule="exact"/>
              <w:jc w:val="center"/>
            </w:pPr>
            <w:r>
              <w:rPr>
                <w:b w:val="0"/>
                <w:sz w:val="18"/>
              </w:rPr>
              <w:t>±0.2</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0.0940</w:t>
              <w:br/>
              <w:t>± 0.0051</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0.0970</w:t>
              <w:br/>
              <w:t>± 0.0048</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0.1090</w:t>
              <w:br/>
              <w:t>± 0.0046</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0.1261</w:t>
              <w:br/>
              <w:t>± 0.0042</w:t>
            </w:r>
          </w:p>
        </w:tc>
        <w:tc>
          <w:tcPr>
            <w:tcW w:type="dxa" w:w="1644"/>
            <w:vAlign w:val="center"/>
            <w:tcMar>
              <w:top w:w="80" w:type="dxa"/>
              <w:left w:w="80" w:type="dxa"/>
              <w:bottom w:w="80" w:type="dxa"/>
              <w:right w:w="80" w:type="dxa"/>
            </w:tcMar>
            <w:shd w:fill="FFFFFF"/>
          </w:tcPr>
          <w:p>
            <w:pPr>
              <w:spacing w:after="0" w:line="270" w:lineRule="exact"/>
              <w:jc w:val="center"/>
            </w:pPr>
            <w:r>
              <w:rPr>
                <w:b w:val="0"/>
                <w:sz w:val="18"/>
              </w:rPr>
              <w:t>0.1612</w:t>
              <w:br/>
              <w:t>± 0.0144</w:t>
            </w:r>
          </w:p>
        </w:tc>
      </w:tr>
      <w:tr>
        <w:trPr>
          <w:cantSplit/>
        </w:trPr>
        <w:tc>
          <w:tcPr>
            <w:tcW w:type="dxa" w:w="1417"/>
            <w:vAlign w:val="center"/>
            <w:tcMar>
              <w:top w:w="80" w:type="dxa"/>
              <w:left w:w="80" w:type="dxa"/>
              <w:bottom w:w="80" w:type="dxa"/>
              <w:right w:w="80" w:type="dxa"/>
            </w:tcMar>
            <w:shd w:fill="F7F9FB"/>
          </w:tcPr>
          <w:p>
            <w:pPr>
              <w:spacing w:after="0" w:line="270" w:lineRule="exact"/>
              <w:jc w:val="center"/>
            </w:pPr>
            <w:r>
              <w:rPr>
                <w:b w:val="0"/>
                <w:sz w:val="18"/>
              </w:rPr>
              <w:t>±0.5</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0.1587</w:t>
              <w:br/>
              <w:t>± 0.0053</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0.1709</w:t>
              <w:br/>
              <w:t>± 0.0067</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0.1848</w:t>
              <w:br/>
              <w:t>± 0.0087</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0.2169</w:t>
              <w:br/>
              <w:t>± 0.0113</w:t>
            </w:r>
          </w:p>
        </w:tc>
        <w:tc>
          <w:tcPr>
            <w:tcW w:type="dxa" w:w="1644"/>
            <w:vAlign w:val="center"/>
            <w:tcMar>
              <w:top w:w="80" w:type="dxa"/>
              <w:left w:w="80" w:type="dxa"/>
              <w:bottom w:w="80" w:type="dxa"/>
              <w:right w:w="80" w:type="dxa"/>
            </w:tcMar>
            <w:shd w:fill="F7F9FB"/>
          </w:tcPr>
          <w:p>
            <w:pPr>
              <w:spacing w:after="0" w:line="270" w:lineRule="exact"/>
              <w:jc w:val="center"/>
            </w:pPr>
            <w:r>
              <w:rPr>
                <w:b w:val="0"/>
                <w:sz w:val="18"/>
              </w:rPr>
              <w:t>0.2515</w:t>
              <w:br/>
              <w:t>± 0.0181</w:t>
            </w:r>
          </w:p>
        </w:tc>
      </w:tr>
    </w:tbl>
    <w:p>
      <w:pPr>
        <w:spacing w:after="0" w:line="60" w:lineRule="exact"/>
      </w:pPr>
      <w:r>
        <w:rPr>
          <w:sz w:val="2"/>
        </w:rPr>
      </w:r>
    </w:p>
    <w:p>
      <w:r>
        <w:rPr>
          <w:b w:val="0"/>
        </w:rPr>
        <w:t>±는 반복 trial 사이의 표준편차이며 신뢰구간이 아니다. 모든 조건에서 낙상은 0/30회였다. 시험 중 낙상이 발생하면 최초 낙상 이후 데이터는 제외하도록 구현되어 있으므로, 추종 지표와 낙상률을 함께 해석해야 한다.</w:t>
      </w:r>
    </w:p>
    <w:p>
      <w:pPr>
        <w:pStyle w:val="Caption"/>
      </w:pPr>
      <w:r>
        <w:rPr>
          <w:b w:val="0"/>
        </w:rPr>
        <w:t>자료 [1]. 원자료 750건 모두에서 RMSE_xy² = RMSE_x² + RMSE_y² 관계를 확인했다.</w:t>
      </w:r>
    </w:p>
    <w:p>
      <w:pPr>
        <w:pStyle w:val="Heading1"/>
        <w:pageBreakBefore/>
      </w:pPr>
      <w:r>
        <w:t>5 노이즈와 지연에 따른 성능 변화</w:t>
      </w:r>
    </w:p>
    <w:p>
      <w:pPr>
        <w:spacing w:line="240" w:lineRule="auto"/>
      </w:pPr>
      <w:r>
        <w:drawing>
          <wp:inline xmlns:a="http://schemas.openxmlformats.org/drawingml/2006/main" xmlns:pic="http://schemas.openxmlformats.org/drawingml/2006/picture">
            <wp:extent cx="6120000" cy="2448000"/>
            <wp:docPr id="1" name="Picture 1" descr="노이즈 5수준별 지연 증가에 따른 평면 속도 벡터 RMSE와 yaw rate RMSE. 오차 막대는 trial 간 표준편차."/>
            <wp:cNvGraphicFramePr>
              <a:graphicFrameLocks noChangeAspect="1"/>
            </wp:cNvGraphicFramePr>
            <a:graphic>
              <a:graphicData uri="http://schemas.openxmlformats.org/drawingml/2006/picture">
                <pic:pic>
                  <pic:nvPicPr>
                    <pic:cNvPr id="0" name="sensitivity_curves.png"/>
                    <pic:cNvPicPr/>
                  </pic:nvPicPr>
                  <pic:blipFill>
                    <a:blip r:embed="rId10"/>
                    <a:stretch>
                      <a:fillRect/>
                    </a:stretch>
                  </pic:blipFill>
                  <pic:spPr>
                    <a:xfrm>
                      <a:off x="0" y="0"/>
                      <a:ext cx="6120000" cy="2448000"/>
                    </a:xfrm>
                    <a:prstGeom prst="rect"/>
                  </pic:spPr>
                </pic:pic>
              </a:graphicData>
            </a:graphic>
          </wp:inline>
        </w:drawing>
      </w:r>
    </w:p>
    <w:p>
      <w:pPr>
        <w:pStyle w:val="Caption"/>
      </w:pPr>
      <w:r>
        <w:rPr>
          <w:b w:val="0"/>
        </w:rPr>
        <w:t>그림 1  actor와 observer가 공유하는 선속도 오차에 대한 민감도  평균 ± 1 SD  자료 [1]</w:t>
      </w:r>
    </w:p>
    <w:p>
      <w:r>
        <w:rPr>
          <w:b w:val="0"/>
        </w:rPr>
        <w:t>노이즈가 커지거나 지연이 길어지면 전반적으로 평면 속도 추종 오차가 증가했다. 가장 큰 입력 오차인 ±0.5 m/s와 120 ms에서 평면 RMSE는 0.2515 m/s였다. 작은 노이즈 조건에서는 20 ms에서 평균 오차가 약간 낮았지만, 80–120 ms에서는 뚜렷하게 커졌다.</w:t>
      </w:r>
    </w:p>
    <w:p>
      <w:pPr>
        <w:pStyle w:val="Heading2"/>
      </w:pPr>
      <w:r>
        <w:t>짧은 지연의 개선을 해석할 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2154"/>
        <w:gridCol w:w="2154"/>
        <w:gridCol w:w="2154"/>
      </w:tblGrid>
      <w:tr>
        <w:trPr>
          <w:cantSplit/>
          <w:tblHeader/>
        </w:trPr>
        <w:tc>
          <w:tcPr>
            <w:tcW w:type="dxa" w:w="3175"/>
            <w:vAlign w:val="center"/>
            <w:tcMar>
              <w:top w:w="80" w:type="dxa"/>
              <w:left w:w="80" w:type="dxa"/>
              <w:bottom w:w="80" w:type="dxa"/>
              <w:right w:w="80" w:type="dxa"/>
            </w:tcMar>
            <w:shd w:fill="E4EDF4"/>
          </w:tcPr>
          <w:p>
            <w:pPr>
              <w:spacing w:after="0" w:line="270" w:lineRule="exact"/>
              <w:jc w:val="center"/>
            </w:pPr>
            <w:r>
              <w:rPr>
                <w:b/>
                <w:sz w:val="18"/>
              </w:rPr>
              <w:t>지표</w:t>
            </w:r>
          </w:p>
        </w:tc>
        <w:tc>
          <w:tcPr>
            <w:tcW w:type="dxa" w:w="2154"/>
            <w:vAlign w:val="center"/>
            <w:tcMar>
              <w:top w:w="80" w:type="dxa"/>
              <w:left w:w="80" w:type="dxa"/>
              <w:bottom w:w="80" w:type="dxa"/>
              <w:right w:w="80" w:type="dxa"/>
            </w:tcMar>
            <w:shd w:fill="E4EDF4"/>
          </w:tcPr>
          <w:p>
            <w:pPr>
              <w:spacing w:after="0" w:line="270" w:lineRule="exact"/>
              <w:jc w:val="center"/>
            </w:pPr>
            <w:r>
              <w:rPr>
                <w:b/>
                <w:sz w:val="18"/>
              </w:rPr>
              <w:t>0 ms</w:t>
            </w:r>
          </w:p>
        </w:tc>
        <w:tc>
          <w:tcPr>
            <w:tcW w:type="dxa" w:w="2154"/>
            <w:vAlign w:val="center"/>
            <w:tcMar>
              <w:top w:w="80" w:type="dxa"/>
              <w:left w:w="80" w:type="dxa"/>
              <w:bottom w:w="80" w:type="dxa"/>
              <w:right w:w="80" w:type="dxa"/>
            </w:tcMar>
            <w:shd w:fill="E4EDF4"/>
          </w:tcPr>
          <w:p>
            <w:pPr>
              <w:spacing w:after="0" w:line="270" w:lineRule="exact"/>
              <w:jc w:val="center"/>
            </w:pPr>
            <w:r>
              <w:rPr>
                <w:b/>
                <w:sz w:val="18"/>
              </w:rPr>
              <w:t>20 ms</w:t>
            </w:r>
          </w:p>
        </w:tc>
        <w:tc>
          <w:tcPr>
            <w:tcW w:type="dxa" w:w="2154"/>
            <w:vAlign w:val="center"/>
            <w:tcMar>
              <w:top w:w="80" w:type="dxa"/>
              <w:left w:w="80" w:type="dxa"/>
              <w:bottom w:w="80" w:type="dxa"/>
              <w:right w:w="80" w:type="dxa"/>
            </w:tcMar>
            <w:shd w:fill="E4EDF4"/>
          </w:tcPr>
          <w:p>
            <w:pPr>
              <w:spacing w:after="0" w:line="270" w:lineRule="exact"/>
              <w:jc w:val="center"/>
            </w:pPr>
            <w:r>
              <w:rPr>
                <w:b/>
                <w:sz w:val="18"/>
              </w:rPr>
              <w:t>40 ms</w:t>
            </w:r>
          </w:p>
        </w:tc>
      </w:tr>
      <w:tr>
        <w:trPr>
          <w:cantSplit/>
        </w:trPr>
        <w:tc>
          <w:tcPr>
            <w:tcW w:type="dxa" w:w="3175"/>
            <w:vAlign w:val="center"/>
            <w:tcMar>
              <w:top w:w="80" w:type="dxa"/>
              <w:left w:w="80" w:type="dxa"/>
              <w:bottom w:w="80" w:type="dxa"/>
              <w:right w:w="80" w:type="dxa"/>
            </w:tcMar>
            <w:shd w:fill="F7F9FB"/>
          </w:tcPr>
          <w:p>
            <w:pPr>
              <w:spacing w:after="0" w:line="270" w:lineRule="exact"/>
              <w:jc w:val="center"/>
            </w:pPr>
            <w:r>
              <w:rPr>
                <w:b w:val="0"/>
                <w:sz w:val="18"/>
              </w:rPr>
              <w:t>평면 속도 RMSE</w:t>
              <w:br/>
              <w:t>m/s</w:t>
            </w:r>
          </w:p>
        </w:tc>
        <w:tc>
          <w:tcPr>
            <w:tcW w:type="dxa" w:w="2154"/>
            <w:vAlign w:val="center"/>
            <w:tcMar>
              <w:top w:w="80" w:type="dxa"/>
              <w:left w:w="80" w:type="dxa"/>
              <w:bottom w:w="80" w:type="dxa"/>
              <w:right w:w="80" w:type="dxa"/>
            </w:tcMar>
            <w:shd w:fill="F7F9FB"/>
          </w:tcPr>
          <w:p>
            <w:pPr>
              <w:spacing w:after="0" w:line="270" w:lineRule="exact"/>
              <w:jc w:val="center"/>
            </w:pPr>
            <w:r>
              <w:rPr>
                <w:b w:val="0"/>
                <w:sz w:val="18"/>
              </w:rPr>
              <w:t>0.0794</w:t>
            </w:r>
          </w:p>
        </w:tc>
        <w:tc>
          <w:tcPr>
            <w:tcW w:type="dxa" w:w="2154"/>
            <w:vAlign w:val="center"/>
            <w:tcMar>
              <w:top w:w="80" w:type="dxa"/>
              <w:left w:w="80" w:type="dxa"/>
              <w:bottom w:w="80" w:type="dxa"/>
              <w:right w:w="80" w:type="dxa"/>
            </w:tcMar>
            <w:shd w:fill="F7F9FB"/>
          </w:tcPr>
          <w:p>
            <w:pPr>
              <w:spacing w:after="0" w:line="270" w:lineRule="exact"/>
              <w:jc w:val="center"/>
            </w:pPr>
            <w:r>
              <w:rPr>
                <w:b w:val="0"/>
                <w:sz w:val="18"/>
              </w:rPr>
              <w:t>0.0758</w:t>
            </w:r>
          </w:p>
        </w:tc>
        <w:tc>
          <w:tcPr>
            <w:tcW w:type="dxa" w:w="2154"/>
            <w:vAlign w:val="center"/>
            <w:tcMar>
              <w:top w:w="80" w:type="dxa"/>
              <w:left w:w="80" w:type="dxa"/>
              <w:bottom w:w="80" w:type="dxa"/>
              <w:right w:w="80" w:type="dxa"/>
            </w:tcMar>
            <w:shd w:fill="F7F9FB"/>
          </w:tcPr>
          <w:p>
            <w:pPr>
              <w:spacing w:after="0" w:line="270" w:lineRule="exact"/>
              <w:jc w:val="center"/>
            </w:pPr>
            <w:r>
              <w:rPr>
                <w:b w:val="0"/>
                <w:sz w:val="18"/>
              </w:rPr>
              <w:t>0.0799</w:t>
            </w:r>
          </w:p>
        </w:tc>
      </w:tr>
      <w:tr>
        <w:trPr>
          <w:cantSplit/>
        </w:trPr>
        <w:tc>
          <w:tcPr>
            <w:tcW w:type="dxa" w:w="3175"/>
            <w:vAlign w:val="center"/>
            <w:tcMar>
              <w:top w:w="80" w:type="dxa"/>
              <w:left w:w="80" w:type="dxa"/>
              <w:bottom w:w="80" w:type="dxa"/>
              <w:right w:w="80" w:type="dxa"/>
            </w:tcMar>
            <w:shd w:fill="FFFFFF"/>
          </w:tcPr>
          <w:p>
            <w:pPr>
              <w:spacing w:after="0" w:line="270" w:lineRule="exact"/>
              <w:jc w:val="center"/>
            </w:pPr>
            <w:r>
              <w:rPr>
                <w:b w:val="0"/>
                <w:sz w:val="18"/>
              </w:rPr>
              <w:t>전진 속도 RMSE</w:t>
              <w:br/>
              <w:t>m/s</w:t>
            </w:r>
          </w:p>
        </w:tc>
        <w:tc>
          <w:tcPr>
            <w:tcW w:type="dxa" w:w="2154"/>
            <w:vAlign w:val="center"/>
            <w:tcMar>
              <w:top w:w="80" w:type="dxa"/>
              <w:left w:w="80" w:type="dxa"/>
              <w:bottom w:w="80" w:type="dxa"/>
              <w:right w:w="80" w:type="dxa"/>
            </w:tcMar>
            <w:shd w:fill="FFFFFF"/>
          </w:tcPr>
          <w:p>
            <w:pPr>
              <w:spacing w:after="0" w:line="270" w:lineRule="exact"/>
              <w:jc w:val="center"/>
            </w:pPr>
            <w:r>
              <w:rPr>
                <w:b w:val="0"/>
                <w:sz w:val="18"/>
              </w:rPr>
              <w:t>0.0680</w:t>
            </w:r>
          </w:p>
        </w:tc>
        <w:tc>
          <w:tcPr>
            <w:tcW w:type="dxa" w:w="2154"/>
            <w:vAlign w:val="center"/>
            <w:tcMar>
              <w:top w:w="80" w:type="dxa"/>
              <w:left w:w="80" w:type="dxa"/>
              <w:bottom w:w="80" w:type="dxa"/>
              <w:right w:w="80" w:type="dxa"/>
            </w:tcMar>
            <w:shd w:fill="FFFFFF"/>
          </w:tcPr>
          <w:p>
            <w:pPr>
              <w:spacing w:after="0" w:line="270" w:lineRule="exact"/>
              <w:jc w:val="center"/>
            </w:pPr>
            <w:r>
              <w:rPr>
                <w:b w:val="0"/>
                <w:sz w:val="18"/>
              </w:rPr>
              <w:t>0.0629</w:t>
            </w:r>
          </w:p>
        </w:tc>
        <w:tc>
          <w:tcPr>
            <w:tcW w:type="dxa" w:w="2154"/>
            <w:vAlign w:val="center"/>
            <w:tcMar>
              <w:top w:w="80" w:type="dxa"/>
              <w:left w:w="80" w:type="dxa"/>
              <w:bottom w:w="80" w:type="dxa"/>
              <w:right w:w="80" w:type="dxa"/>
            </w:tcMar>
            <w:shd w:fill="FFFFFF"/>
          </w:tcPr>
          <w:p>
            <w:pPr>
              <w:spacing w:after="0" w:line="270" w:lineRule="exact"/>
              <w:jc w:val="center"/>
            </w:pPr>
            <w:r>
              <w:rPr>
                <w:b w:val="0"/>
                <w:sz w:val="18"/>
              </w:rPr>
              <w:t>0.0601</w:t>
            </w:r>
          </w:p>
        </w:tc>
      </w:tr>
      <w:tr>
        <w:trPr>
          <w:cantSplit/>
        </w:trPr>
        <w:tc>
          <w:tcPr>
            <w:tcW w:type="dxa" w:w="3175"/>
            <w:vAlign w:val="center"/>
            <w:tcMar>
              <w:top w:w="80" w:type="dxa"/>
              <w:left w:w="80" w:type="dxa"/>
              <w:bottom w:w="80" w:type="dxa"/>
              <w:right w:w="80" w:type="dxa"/>
            </w:tcMar>
            <w:shd w:fill="F7F9FB"/>
          </w:tcPr>
          <w:p>
            <w:pPr>
              <w:spacing w:after="0" w:line="270" w:lineRule="exact"/>
              <w:jc w:val="center"/>
            </w:pPr>
            <w:r>
              <w:rPr>
                <w:b w:val="0"/>
                <w:sz w:val="18"/>
              </w:rPr>
              <w:t>좌우 속도 RMSE</w:t>
              <w:br/>
              <w:t>m/s</w:t>
            </w:r>
          </w:p>
        </w:tc>
        <w:tc>
          <w:tcPr>
            <w:tcW w:type="dxa" w:w="2154"/>
            <w:vAlign w:val="center"/>
            <w:tcMar>
              <w:top w:w="80" w:type="dxa"/>
              <w:left w:w="80" w:type="dxa"/>
              <w:bottom w:w="80" w:type="dxa"/>
              <w:right w:w="80" w:type="dxa"/>
            </w:tcMar>
            <w:shd w:fill="F7F9FB"/>
          </w:tcPr>
          <w:p>
            <w:pPr>
              <w:spacing w:after="0" w:line="270" w:lineRule="exact"/>
              <w:jc w:val="center"/>
            </w:pPr>
            <w:r>
              <w:rPr>
                <w:b w:val="0"/>
                <w:sz w:val="18"/>
              </w:rPr>
              <w:t>0.0409</w:t>
            </w:r>
          </w:p>
        </w:tc>
        <w:tc>
          <w:tcPr>
            <w:tcW w:type="dxa" w:w="2154"/>
            <w:vAlign w:val="center"/>
            <w:tcMar>
              <w:top w:w="80" w:type="dxa"/>
              <w:left w:w="80" w:type="dxa"/>
              <w:bottom w:w="80" w:type="dxa"/>
              <w:right w:w="80" w:type="dxa"/>
            </w:tcMar>
            <w:shd w:fill="F7F9FB"/>
          </w:tcPr>
          <w:p>
            <w:pPr>
              <w:spacing w:after="0" w:line="270" w:lineRule="exact"/>
              <w:jc w:val="center"/>
            </w:pPr>
            <w:r>
              <w:rPr>
                <w:b w:val="0"/>
                <w:sz w:val="18"/>
              </w:rPr>
              <w:t>0.0420</w:t>
            </w:r>
          </w:p>
        </w:tc>
        <w:tc>
          <w:tcPr>
            <w:tcW w:type="dxa" w:w="2154"/>
            <w:vAlign w:val="center"/>
            <w:tcMar>
              <w:top w:w="80" w:type="dxa"/>
              <w:left w:w="80" w:type="dxa"/>
              <w:bottom w:w="80" w:type="dxa"/>
              <w:right w:w="80" w:type="dxa"/>
            </w:tcMar>
            <w:shd w:fill="F7F9FB"/>
          </w:tcPr>
          <w:p>
            <w:pPr>
              <w:spacing w:after="0" w:line="270" w:lineRule="exact"/>
              <w:jc w:val="center"/>
            </w:pPr>
            <w:r>
              <w:rPr>
                <w:b w:val="0"/>
                <w:sz w:val="18"/>
              </w:rPr>
              <w:t>0.0526</w:t>
            </w:r>
          </w:p>
        </w:tc>
      </w:tr>
      <w:tr>
        <w:trPr>
          <w:cantSplit/>
        </w:trPr>
        <w:tc>
          <w:tcPr>
            <w:tcW w:type="dxa" w:w="3175"/>
            <w:vAlign w:val="center"/>
            <w:tcMar>
              <w:top w:w="80" w:type="dxa"/>
              <w:left w:w="80" w:type="dxa"/>
              <w:bottom w:w="80" w:type="dxa"/>
              <w:right w:w="80" w:type="dxa"/>
            </w:tcMar>
            <w:shd w:fill="FFFFFF"/>
          </w:tcPr>
          <w:p>
            <w:pPr>
              <w:spacing w:after="0" w:line="270" w:lineRule="exact"/>
              <w:jc w:val="center"/>
            </w:pPr>
            <w:r>
              <w:rPr>
                <w:b w:val="0"/>
                <w:sz w:val="18"/>
              </w:rPr>
              <w:t>Yaw rate RMSE</w:t>
              <w:br/>
              <w:t>rad/s</w:t>
            </w:r>
          </w:p>
        </w:tc>
        <w:tc>
          <w:tcPr>
            <w:tcW w:type="dxa" w:w="2154"/>
            <w:vAlign w:val="center"/>
            <w:tcMar>
              <w:top w:w="80" w:type="dxa"/>
              <w:left w:w="80" w:type="dxa"/>
              <w:bottom w:w="80" w:type="dxa"/>
              <w:right w:w="80" w:type="dxa"/>
            </w:tcMar>
            <w:shd w:fill="FFFFFF"/>
          </w:tcPr>
          <w:p>
            <w:pPr>
              <w:spacing w:after="0" w:line="270" w:lineRule="exact"/>
              <w:jc w:val="center"/>
            </w:pPr>
            <w:r>
              <w:rPr>
                <w:b w:val="0"/>
                <w:sz w:val="18"/>
              </w:rPr>
              <w:t>0.1592</w:t>
            </w:r>
          </w:p>
        </w:tc>
        <w:tc>
          <w:tcPr>
            <w:tcW w:type="dxa" w:w="2154"/>
            <w:vAlign w:val="center"/>
            <w:tcMar>
              <w:top w:w="80" w:type="dxa"/>
              <w:left w:w="80" w:type="dxa"/>
              <w:bottom w:w="80" w:type="dxa"/>
              <w:right w:w="80" w:type="dxa"/>
            </w:tcMar>
            <w:shd w:fill="FFFFFF"/>
          </w:tcPr>
          <w:p>
            <w:pPr>
              <w:spacing w:after="0" w:line="270" w:lineRule="exact"/>
              <w:jc w:val="center"/>
            </w:pPr>
            <w:r>
              <w:rPr>
                <w:b w:val="0"/>
                <w:sz w:val="18"/>
              </w:rPr>
              <w:t>0.1614</w:t>
            </w:r>
          </w:p>
        </w:tc>
        <w:tc>
          <w:tcPr>
            <w:tcW w:type="dxa" w:w="2154"/>
            <w:vAlign w:val="center"/>
            <w:tcMar>
              <w:top w:w="80" w:type="dxa"/>
              <w:left w:w="80" w:type="dxa"/>
              <w:bottom w:w="80" w:type="dxa"/>
              <w:right w:w="80" w:type="dxa"/>
            </w:tcMar>
            <w:shd w:fill="FFFFFF"/>
          </w:tcPr>
          <w:p>
            <w:pPr>
              <w:spacing w:after="0" w:line="270" w:lineRule="exact"/>
              <w:jc w:val="center"/>
            </w:pPr>
            <w:r>
              <w:rPr>
                <w:b w:val="0"/>
                <w:sz w:val="18"/>
              </w:rPr>
              <w:t>0.1749</w:t>
            </w:r>
          </w:p>
        </w:tc>
      </w:tr>
    </w:tbl>
    <w:p>
      <w:pPr>
        <w:spacing w:after="0" w:line="60" w:lineRule="exact"/>
      </w:pPr>
      <w:r>
        <w:rPr>
          <w:sz w:val="2"/>
        </w:rPr>
      </w:r>
    </w:p>
    <w:p>
      <w:pPr>
        <w:pStyle w:val="Caption"/>
      </w:pPr>
      <w:r>
        <w:rPr>
          <w:b w:val="0"/>
        </w:rPr>
        <w:t>표 2  노이즈 ±0.05 m/s에서의 조건별 평균  축별 지표는 원인 분석용으로 유지</w:t>
      </w:r>
    </w:p>
    <w:p>
      <w:r>
        <w:rPr>
          <w:b w:val="0"/>
        </w:rPr>
        <w:t>40 ms에서 전진 오차는 감소했으나 좌우 오차가 증가하여 평면 RMSE는 무지연과 거의 같았다. 20 ms에서는 평면 RMSE가 약 4.6% 낮았다. 보행 중 속도 진동과 피드백 보정 시점이 달라지는 것이 가능한 설명이지만, 원인을 확인한 결과는 아니다. 순수한 지연 자체가 노이즈를 제거하는 필터는 아니며, 최적 지연이나 통계적 유의성도 입증하지 않았다.</w:t>
      </w:r>
    </w:p>
    <w:p>
      <w:pPr>
        <w:pStyle w:val="Heading2"/>
      </w:pPr>
      <w:r>
        <w:t>Observer에 동일한 오차를 준 영향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118"/>
        <w:gridCol w:w="3118"/>
      </w:tblGrid>
      <w:tr>
        <w:trPr>
          <w:cantSplit/>
          <w:tblHeader/>
        </w:trPr>
        <w:tc>
          <w:tcPr>
            <w:tcW w:type="dxa" w:w="3402"/>
            <w:vAlign w:val="center"/>
            <w:tcMar>
              <w:top w:w="80" w:type="dxa"/>
              <w:left w:w="80" w:type="dxa"/>
              <w:bottom w:w="80" w:type="dxa"/>
              <w:right w:w="80" w:type="dxa"/>
            </w:tcMar>
            <w:shd w:fill="E4EDF4"/>
          </w:tcPr>
          <w:p>
            <w:pPr>
              <w:spacing w:after="0" w:line="270" w:lineRule="exact"/>
              <w:jc w:val="center"/>
            </w:pPr>
            <w:r>
              <w:rPr>
                <w:b/>
                <w:sz w:val="18"/>
              </w:rPr>
              <w:t>입력 조건</w:t>
            </w:r>
          </w:p>
        </w:tc>
        <w:tc>
          <w:tcPr>
            <w:tcW w:type="dxa" w:w="3118"/>
            <w:vAlign w:val="center"/>
            <w:tcMar>
              <w:top w:w="80" w:type="dxa"/>
              <w:left w:w="80" w:type="dxa"/>
              <w:bottom w:w="80" w:type="dxa"/>
              <w:right w:w="80" w:type="dxa"/>
            </w:tcMar>
            <w:shd w:fill="E4EDF4"/>
          </w:tcPr>
          <w:p>
            <w:pPr>
              <w:spacing w:after="0" w:line="270" w:lineRule="exact"/>
              <w:jc w:val="center"/>
            </w:pPr>
            <w:r>
              <w:rPr>
                <w:b/>
                <w:sz w:val="18"/>
              </w:rPr>
              <w:t>actor만 오차 적용</w:t>
            </w:r>
          </w:p>
        </w:tc>
        <w:tc>
          <w:tcPr>
            <w:tcW w:type="dxa" w:w="3118"/>
            <w:vAlign w:val="center"/>
            <w:tcMar>
              <w:top w:w="80" w:type="dxa"/>
              <w:left w:w="80" w:type="dxa"/>
              <w:bottom w:w="80" w:type="dxa"/>
              <w:right w:w="80" w:type="dxa"/>
            </w:tcMar>
            <w:shd w:fill="E4EDF4"/>
          </w:tcPr>
          <w:p>
            <w:pPr>
              <w:spacing w:after="0" w:line="270" w:lineRule="exact"/>
              <w:jc w:val="center"/>
            </w:pPr>
            <w:r>
              <w:rPr>
                <w:b/>
                <w:sz w:val="18"/>
              </w:rPr>
              <w:t>actor와 observer 공유</w:t>
            </w:r>
          </w:p>
        </w:tc>
      </w:tr>
      <w:tr>
        <w:trPr>
          <w:cantSplit/>
        </w:trPr>
        <w:tc>
          <w:tcPr>
            <w:tcW w:type="dxa" w:w="3402"/>
            <w:vAlign w:val="center"/>
            <w:tcMar>
              <w:top w:w="80" w:type="dxa"/>
              <w:left w:w="80" w:type="dxa"/>
              <w:bottom w:w="80" w:type="dxa"/>
              <w:right w:w="80" w:type="dxa"/>
            </w:tcMar>
            <w:shd w:fill="F7F9FB"/>
          </w:tcPr>
          <w:p>
            <w:pPr>
              <w:spacing w:after="0" w:line="270" w:lineRule="exact"/>
              <w:jc w:val="center"/>
            </w:pPr>
            <w:r>
              <w:rPr>
                <w:b w:val="0"/>
                <w:sz w:val="18"/>
              </w:rPr>
              <w:t>±0.05 m/s  0 ms</w:t>
            </w:r>
          </w:p>
        </w:tc>
        <w:tc>
          <w:tcPr>
            <w:tcW w:type="dxa" w:w="3118"/>
            <w:vAlign w:val="center"/>
            <w:tcMar>
              <w:top w:w="80" w:type="dxa"/>
              <w:left w:w="80" w:type="dxa"/>
              <w:bottom w:w="80" w:type="dxa"/>
              <w:right w:w="80" w:type="dxa"/>
            </w:tcMar>
            <w:shd w:fill="F7F9FB"/>
          </w:tcPr>
          <w:p>
            <w:pPr>
              <w:spacing w:after="0" w:line="270" w:lineRule="exact"/>
              <w:jc w:val="center"/>
            </w:pPr>
            <w:r>
              <w:rPr>
                <w:b w:val="0"/>
                <w:sz w:val="18"/>
              </w:rPr>
              <w:t>0.0795</w:t>
            </w:r>
          </w:p>
        </w:tc>
        <w:tc>
          <w:tcPr>
            <w:tcW w:type="dxa" w:w="3118"/>
            <w:vAlign w:val="center"/>
            <w:tcMar>
              <w:top w:w="80" w:type="dxa"/>
              <w:left w:w="80" w:type="dxa"/>
              <w:bottom w:w="80" w:type="dxa"/>
              <w:right w:w="80" w:type="dxa"/>
            </w:tcMar>
            <w:shd w:fill="F7F9FB"/>
          </w:tcPr>
          <w:p>
            <w:pPr>
              <w:spacing w:after="0" w:line="270" w:lineRule="exact"/>
              <w:jc w:val="center"/>
            </w:pPr>
            <w:r>
              <w:rPr>
                <w:b w:val="0"/>
                <w:sz w:val="18"/>
              </w:rPr>
              <w:t>0.0794</w:t>
            </w:r>
          </w:p>
        </w:tc>
      </w:tr>
      <w:tr>
        <w:trPr>
          <w:cantSplit/>
        </w:trPr>
        <w:tc>
          <w:tcPr>
            <w:tcW w:type="dxa" w:w="3402"/>
            <w:vAlign w:val="center"/>
            <w:tcMar>
              <w:top w:w="80" w:type="dxa"/>
              <w:left w:w="80" w:type="dxa"/>
              <w:bottom w:w="80" w:type="dxa"/>
              <w:right w:w="80" w:type="dxa"/>
            </w:tcMar>
            <w:shd w:fill="FFFFFF"/>
          </w:tcPr>
          <w:p>
            <w:pPr>
              <w:spacing w:after="0" w:line="270" w:lineRule="exact"/>
              <w:jc w:val="center"/>
            </w:pPr>
            <w:r>
              <w:rPr>
                <w:b w:val="0"/>
                <w:sz w:val="18"/>
              </w:rPr>
              <w:t>±0.05 m/s  120 ms</w:t>
            </w:r>
          </w:p>
        </w:tc>
        <w:tc>
          <w:tcPr>
            <w:tcW w:type="dxa" w:w="3118"/>
            <w:vAlign w:val="center"/>
            <w:tcMar>
              <w:top w:w="80" w:type="dxa"/>
              <w:left w:w="80" w:type="dxa"/>
              <w:bottom w:w="80" w:type="dxa"/>
              <w:right w:w="80" w:type="dxa"/>
            </w:tcMar>
            <w:shd w:fill="FFFFFF"/>
          </w:tcPr>
          <w:p>
            <w:pPr>
              <w:spacing w:after="0" w:line="270" w:lineRule="exact"/>
              <w:jc w:val="center"/>
            </w:pPr>
            <w:r>
              <w:rPr>
                <w:b w:val="0"/>
                <w:sz w:val="18"/>
              </w:rPr>
              <w:t>0.1413</w:t>
            </w:r>
          </w:p>
        </w:tc>
        <w:tc>
          <w:tcPr>
            <w:tcW w:type="dxa" w:w="3118"/>
            <w:vAlign w:val="center"/>
            <w:tcMar>
              <w:top w:w="80" w:type="dxa"/>
              <w:left w:w="80" w:type="dxa"/>
              <w:bottom w:w="80" w:type="dxa"/>
              <w:right w:w="80" w:type="dxa"/>
            </w:tcMar>
            <w:shd w:fill="FFFFFF"/>
          </w:tcPr>
          <w:p>
            <w:pPr>
              <w:spacing w:after="0" w:line="270" w:lineRule="exact"/>
              <w:jc w:val="center"/>
            </w:pPr>
            <w:r>
              <w:rPr>
                <w:b w:val="0"/>
                <w:sz w:val="18"/>
              </w:rPr>
              <w:t>0.1426</w:t>
            </w:r>
          </w:p>
        </w:tc>
      </w:tr>
      <w:tr>
        <w:trPr>
          <w:cantSplit/>
        </w:trPr>
        <w:tc>
          <w:tcPr>
            <w:tcW w:type="dxa" w:w="3402"/>
            <w:vAlign w:val="center"/>
            <w:tcMar>
              <w:top w:w="80" w:type="dxa"/>
              <w:left w:w="80" w:type="dxa"/>
              <w:bottom w:w="80" w:type="dxa"/>
              <w:right w:w="80" w:type="dxa"/>
            </w:tcMar>
            <w:shd w:fill="F7F9FB"/>
          </w:tcPr>
          <w:p>
            <w:pPr>
              <w:spacing w:after="0" w:line="270" w:lineRule="exact"/>
              <w:jc w:val="center"/>
            </w:pPr>
            <w:r>
              <w:rPr>
                <w:b w:val="0"/>
                <w:sz w:val="18"/>
              </w:rPr>
              <w:t>±0.5 m/s  120 ms</w:t>
            </w:r>
          </w:p>
        </w:tc>
        <w:tc>
          <w:tcPr>
            <w:tcW w:type="dxa" w:w="3118"/>
            <w:vAlign w:val="center"/>
            <w:tcMar>
              <w:top w:w="80" w:type="dxa"/>
              <w:left w:w="80" w:type="dxa"/>
              <w:bottom w:w="80" w:type="dxa"/>
              <w:right w:w="80" w:type="dxa"/>
            </w:tcMar>
            <w:shd w:fill="F7F9FB"/>
          </w:tcPr>
          <w:p>
            <w:pPr>
              <w:spacing w:after="0" w:line="270" w:lineRule="exact"/>
              <w:jc w:val="center"/>
            </w:pPr>
            <w:r>
              <w:rPr>
                <w:b w:val="0"/>
                <w:sz w:val="18"/>
              </w:rPr>
              <w:t>0.2473</w:t>
            </w:r>
          </w:p>
        </w:tc>
        <w:tc>
          <w:tcPr>
            <w:tcW w:type="dxa" w:w="3118"/>
            <w:vAlign w:val="center"/>
            <w:tcMar>
              <w:top w:w="80" w:type="dxa"/>
              <w:left w:w="80" w:type="dxa"/>
              <w:bottom w:w="80" w:type="dxa"/>
              <w:right w:w="80" w:type="dxa"/>
            </w:tcMar>
            <w:shd w:fill="F7F9FB"/>
          </w:tcPr>
          <w:p>
            <w:pPr>
              <w:spacing w:after="0" w:line="270" w:lineRule="exact"/>
              <w:jc w:val="center"/>
            </w:pPr>
            <w:r>
              <w:rPr>
                <w:b w:val="0"/>
                <w:sz w:val="18"/>
              </w:rPr>
              <w:t>0.2515</w:t>
            </w:r>
          </w:p>
        </w:tc>
      </w:tr>
    </w:tbl>
    <w:p>
      <w:pPr>
        <w:spacing w:after="0" w:line="60" w:lineRule="exact"/>
      </w:pPr>
      <w:r>
        <w:rPr>
          <w:sz w:val="2"/>
        </w:rPr>
      </w:r>
    </w:p>
    <w:p>
      <w:pPr>
        <w:pStyle w:val="Caption"/>
      </w:pPr>
      <w:r>
        <w:rPr>
          <w:b w:val="0"/>
        </w:rPr>
        <w:t>표 3  평면 RMSE 평균 비교  단위 m/s  자료 [1, 4]. 앞선 actor 단독 결과는 비교군으로만 사용한다.</w:t>
      </w:r>
    </w:p>
    <w:p>
      <w:pPr>
        <w:pStyle w:val="Heading1"/>
        <w:pageBreakBefore/>
      </w:pPr>
      <w:r>
        <w:t>6 적용 범위와 남은 문제</w:t>
      </w:r>
    </w:p>
    <w:p>
      <w:r>
        <w:rPr>
          <w:b w:val="0"/>
        </w:rPr>
        <w:t>낙상 없이 30초를 완료한 결과가 직선 경로 추종을 보장하지는 않는다. 선속도 노이즈 0 및 지연 0 조건에서도 평균 횡방향 이탈은 6.84 m, 평균 절대 방향 드리프트는 40.0°였다. 명령이 몸체 좌표 기준이므로 로봇이 회전하면서 몸체 전진 속도를 유지할 수 있다. 경로 이탈과 회전 지표를 함께 확인해야 한다.</w:t>
      </w:r>
    </w:p>
    <w:p>
      <w:r>
        <w:rPr>
          <w:b w:val="0"/>
        </w:rPr>
        <w:t>학습의 물리 간격은 5 ms이고 본 평가는 1 ms이다. 정책 주기는 모두 20 ms지만, 물리 적분 조건의 차이가 결과에 영향을 줄 수 있다. 짧은 지연의 개선 원인을 확인하려면 학습과 같은 5 ms 물리 조건에서도 반복해야 한다.</w:t>
      </w:r>
    </w:p>
    <w:p>
      <w:r>
        <w:rPr>
          <w:b w:val="0"/>
        </w:rPr>
        <w:t>이번 실험은 독립 균등 노이즈와 고정 지연을 사용한다. 실제 FAST-LIO의 bias, 시간 상관, 지연 변동, 자세 오차, 각속도 오차의 공유 및 외부 하중에 대한 민감도는 포함하지 않는다. 정책은 한 개이며 재학습하지 않았다. 따라서 다른 학습 seed나 실제 로봇에서 같은 결과가 난다고 일반화할 수 없다.</w:t>
      </w:r>
    </w:p>
    <w:p>
      <w:pPr>
        <w:pStyle w:val="Heading2"/>
      </w:pPr>
      <w:r>
        <w:t>후속 평가 우선순위</w:t>
      </w:r>
    </w:p>
    <w:p>
      <w:r>
        <w:rPr>
          <w:b w:val="0"/>
        </w:rPr>
        <w:t>대표 지표는 평면 속도 벡터 RMSE로 유지하고, yaw rate RMSE·낙상률·경로 이탈을 함께 보고한다. 물리 5 ms에서 같은 실험을 반복한 뒤, 평면 오차를 평균 속도 편차와 시간 변동으로 분해하여 20 ms 조건의 차이를 확인한다. 이후 여러 속도 명령과 실제 센서 로그에 가까운 오차 모델로 평가 범위를 넓힌다.</w:t>
      </w:r>
    </w:p>
    <w:p>
      <w:pPr>
        <w:pStyle w:val="Heading1"/>
      </w:pPr>
      <w:r>
        <w:t>7 재현 정보와 자료 위치</w:t>
      </w:r>
    </w:p>
    <w:p>
      <w:r>
        <w:rPr>
          <w:b w:val="0"/>
        </w:rPr>
        <w:t>작업 경로는 /home/rpmsnu/Documents/ADAPT이다. 아래 경로는 이 디렉터리를 기준으로 한다. 모델과 원자료는 보존되어 있으며, 보고서의 표와 그래프는 저장된 결과에서 생성했다.</w:t>
      </w:r>
    </w:p>
    <w:p>
      <w:pPr>
        <w:pStyle w:val="Caption"/>
      </w:pPr>
      <w:r>
        <w:rPr>
          <w:b w:val="0"/>
        </w:rPr>
        <w:t>체크포인트  logs/rsl_rl/linvel_noise_005/momo_g1_effort_scale/</w:t>
        <w:br/>
        <w:t>2026-10-20_18-00-25-938473_stage2/model_34998.pt</w:t>
      </w:r>
    </w:p>
    <w:p>
      <w:pPr>
        <w:pStyle w:val="Caption"/>
      </w:pPr>
      <w:r>
        <w:rPr>
          <w:b w:val="0"/>
        </w:rPr>
        <w:t>SHA256  b1d546e36bebfdb219102873fd651f3b1dd08562db7fca88c16fb2f77d83449f</w:t>
      </w:r>
    </w:p>
    <w:p>
      <w:pPr>
        <w:spacing w:line="264" w:lineRule="auto"/>
      </w:pPr>
      <w:r>
        <w:rPr>
          <w:rFonts w:ascii="DejaVu Sans Mono" w:hAnsi="DejaVu Sans Mono"/>
          <w:sz w:val="16"/>
        </w:rPr>
        <w:t>CHECKPOINT="logs/rsl_rl/linvel_noise_005/momo_g1_effort_scale/"</w:t>
        <w:br/>
      </w:r>
      <w:r>
        <w:rPr>
          <w:rFonts w:ascii="DejaVu Sans Mono" w:hAnsi="DejaVu Sans Mono"/>
          <w:sz w:val="16"/>
        </w:rPr>
        <w:t>CHECKPOINT+="2026-10-20_18-00-25-938473_stage2/model_34998.pt"</w:t>
        <w:br/>
      </w:r>
      <w:r>
        <w:rPr>
          <w:rFonts w:ascii="DejaVu Sans Mono" w:hAnsi="DejaVu Sans Mono"/>
          <w:sz w:val="16"/>
        </w:rPr>
        <w:t>.venv/bin/python -m scripts.evaluate_velocity_sensitivity \</w:t>
        <w:br/>
      </w:r>
      <w:r>
        <w:rPr>
          <w:rFonts w:ascii="DejaVu Sans Mono" w:hAnsi="DejaVu Sans Mono"/>
          <w:sz w:val="16"/>
        </w:rPr>
        <w:t xml:space="preserve">  --checkpoint "$CHECKPOINT" --target shared --seed 42 \</w:t>
        <w:br/>
      </w:r>
      <w:r>
        <w:rPr>
          <w:rFonts w:ascii="DejaVu Sans Mono" w:hAnsi="DejaVu Sans Mono"/>
          <w:sz w:val="16"/>
        </w:rPr>
        <w:t xml:space="preserve">  --output logs/evaluation/shared_repeat_seed42</w:t>
      </w:r>
    </w:p>
    <w:p>
      <w:r>
        <w:rPr>
          <w:b w:val="0"/>
        </w:rPr>
        <w:t>새 output 경로로 seed 42, 142, 242를 각각 실행한다. 세 결과 디렉터리를 scripts.summarize_velocity_sensitivity에 전달하면 평면 RMSE를 집계한다. 입력 공유, 지연 버퍼, 리셋 및 좌표 변환에 대한 5개 검증을 통과했고, 평가 중에도 실제 센서와 전달 신호를 매 스텝 대조했다.</w:t>
      </w:r>
    </w:p>
    <w:p>
      <w:pPr>
        <w:pStyle w:val="Caption"/>
      </w:pPr>
      <w:r>
        <w:rPr>
          <w:b w:val="0"/>
        </w:rPr>
        <w:t>[1] 평면 지표와 그래프  logs/evaluation/velocity_sensitivity_shared_2026-10-21_vector/</w:t>
        <w:br/>
        <w:t>summary.json, trials.json, metadata.json, sensitivity_curves.png</w:t>
      </w:r>
    </w:p>
    <w:p>
      <w:pPr>
        <w:pStyle w:val="Caption"/>
      </w:pPr>
      <w:r>
        <w:rPr>
          <w:b w:val="0"/>
        </w:rPr>
        <w:t>[2] 원래 공유 오차 평가  logs/evaluation/velocity_sensitivity_shared_2026-10-21_seed{42,142,242}/</w:t>
      </w:r>
    </w:p>
    <w:p>
      <w:pPr>
        <w:pStyle w:val="Caption"/>
      </w:pPr>
      <w:r>
        <w:rPr>
          <w:b w:val="0"/>
        </w:rPr>
        <w:t>[3] 검증 및 실행 기록  logs/evaluation/velocity_sensitivity_shared_2026-10-21_combined/</w:t>
        <w:br/>
        <w:t>verification.log, run_seed42.log, run_seed142.log, run_seed242.log</w:t>
      </w:r>
    </w:p>
    <w:p>
      <w:pPr>
        <w:pStyle w:val="Caption"/>
      </w:pPr>
      <w:r>
        <w:rPr>
          <w:b w:val="0"/>
        </w:rPr>
        <w:t>[4] actor 단독 비교군  logs/evaluation/velocity_sensitivity_2026-10-21_combined/trials.json</w:t>
      </w:r>
    </w:p>
    <w:sectPr w:rsidR="00FC693F" w:rsidRPr="0006063C" w:rsidSect="00034616">
      <w:footerReference w:type="default" r:id="rId9"/>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Noto Sans CJK KR" w:hAnsi="Noto Sans CJK KR" w:eastAsia="Noto Sans CJK KR" w:cs="Noto Sans CJK KR"/>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50" w:lineRule="exact"/>
      <w:outlineLvl w:val="0"/>
    </w:pPr>
    <w:rPr>
      <w:rFonts w:asciiTheme="majorHAnsi" w:eastAsiaTheme="majorEastAsia" w:hAnsiTheme="majorHAnsi" w:cstheme="majorBidi" w:ascii="Noto Sans CJK KR" w:hAnsi="Noto Sans CJK KR" w:eastAsia="Noto Sans CJK KR" w:cs="Noto Sans CJK KR"/>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45" w:lineRule="exact"/>
      <w:outlineLvl w:val="1"/>
    </w:pPr>
    <w:rPr>
      <w:rFonts w:asciiTheme="majorHAnsi" w:eastAsiaTheme="majorEastAsia" w:hAnsiTheme="majorHAnsi" w:cstheme="majorBidi" w:ascii="Noto Sans CJK KR" w:hAnsi="Noto Sans CJK KR" w:eastAsia="Noto Sans CJK KR" w:cs="Noto Sans CJK KR"/>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690" w:lineRule="exact"/>
      <w:contextualSpacing/>
    </w:pPr>
    <w:rPr>
      <w:rFonts w:asciiTheme="majorHAnsi" w:eastAsiaTheme="majorEastAsia" w:hAnsiTheme="majorHAnsi" w:cstheme="majorBidi" w:ascii="Noto Sans CJK KR" w:hAnsi="Noto Sans CJK KR" w:eastAsia="Noto Sans CJK KR" w:cs="Noto Sans CJK KR"/>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30" w:lineRule="exact"/>
    </w:pPr>
    <w:rPr>
      <w:rFonts w:asciiTheme="majorHAnsi" w:eastAsiaTheme="majorEastAsia" w:hAnsiTheme="majorHAnsi" w:cstheme="majorBidi" w:ascii="Noto Sans CJK KR" w:hAnsi="Noto Sans CJK KR" w:eastAsia="Noto Sans CJK KR" w:cs="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5" w:lineRule="exact" w:after="120"/>
    </w:pPr>
    <w:rPr>
      <w:rFonts w:ascii="Noto Sans CJK KR" w:hAnsi="Noto Sans CJK KR" w:eastAsia="Noto Sans CJK KR" w:cs="Noto Sans CJK KR"/>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 선속도 입력 노이즈와 지연에 따른 보행 성능 평가</dc:title>
  <dc:subject>actor와 observer가 공유하는 선속도 오차의 민감도 평가</dc:subject>
  <dc:creator>Codex</dc:creator>
  <cp:keywords>ADAPT, 선속도, RMSE, observer, noise, delay</cp:keywords>
  <dc:description>generated by python-docx</dc:description>
  <cp:lastModifiedBy/>
  <cp:revision>1</cp:revision>
  <dcterms:created xsi:type="dcterms:W3CDTF">2013-12-23T23:15:00Z</dcterms:created>
  <dcterms:modified xsi:type="dcterms:W3CDTF">2013-12-23T23:15:00Z</dcterms:modified>
  <cp:category/>
</cp:coreProperties>
</file>