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ACA3677" w:rsidR="00531FBF" w:rsidRPr="00B7788F" w:rsidRDefault="0086737D" w:rsidP="00B7788F">
            <w:pPr>
              <w:contextualSpacing/>
              <w:jc w:val="center"/>
              <w:rPr>
                <w:rFonts w:eastAsia="Times New Roman" w:cstheme="minorHAnsi"/>
                <w:b/>
                <w:bCs/>
                <w:sz w:val="22"/>
                <w:szCs w:val="22"/>
              </w:rPr>
            </w:pPr>
            <w:r>
              <w:rPr>
                <w:rFonts w:eastAsia="Times New Roman" w:cstheme="minorHAnsi"/>
                <w:b/>
                <w:bCs/>
                <w:sz w:val="22"/>
                <w:szCs w:val="22"/>
              </w:rPr>
              <w:t>02/28/2026</w:t>
            </w:r>
          </w:p>
        </w:tc>
        <w:tc>
          <w:tcPr>
            <w:tcW w:w="2338" w:type="dxa"/>
            <w:tcMar>
              <w:left w:w="115" w:type="dxa"/>
              <w:right w:w="115" w:type="dxa"/>
            </w:tcMar>
          </w:tcPr>
          <w:p w14:paraId="07699096" w14:textId="5EE2BE8A" w:rsidR="00531FBF" w:rsidRPr="00B7788F" w:rsidRDefault="0086737D" w:rsidP="00B7788F">
            <w:pPr>
              <w:contextualSpacing/>
              <w:jc w:val="center"/>
              <w:rPr>
                <w:rFonts w:eastAsia="Times New Roman" w:cstheme="minorHAnsi"/>
                <w:b/>
                <w:bCs/>
                <w:sz w:val="22"/>
                <w:szCs w:val="22"/>
              </w:rPr>
            </w:pPr>
            <w:r>
              <w:rPr>
                <w:rFonts w:eastAsia="Times New Roman" w:cstheme="minorHAnsi"/>
                <w:b/>
                <w:bCs/>
                <w:sz w:val="22"/>
                <w:szCs w:val="22"/>
              </w:rPr>
              <w:t>Chakira Lora Rosario</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7C696FC0" w14:textId="77777777" w:rsidR="0086737D" w:rsidRDefault="0086737D">
      <w:pPr>
        <w:rPr>
          <w:rFonts w:cstheme="minorHAnsi"/>
          <w:b/>
          <w:bCs/>
          <w:sz w:val="22"/>
          <w:szCs w:val="22"/>
        </w:rPr>
      </w:pPr>
      <w:bookmarkStart w:id="9" w:name="_Toc1709846648"/>
      <w:bookmarkStart w:id="10" w:name="_Toc770945630"/>
      <w:bookmarkStart w:id="11" w:name="_Toc102040757"/>
      <w:r>
        <w:br w:type="page"/>
      </w:r>
    </w:p>
    <w:p w14:paraId="3EF4D256" w14:textId="37596AF8" w:rsidR="00701A84" w:rsidRPr="00B7788F" w:rsidRDefault="00352FD0" w:rsidP="00D47759">
      <w:pPr>
        <w:pStyle w:val="Heading2"/>
        <w:spacing w:before="0" w:line="240" w:lineRule="auto"/>
      </w:pPr>
      <w:r w:rsidRPr="00B7788F">
        <w:lastRenderedPageBreak/>
        <w:t>Developer</w:t>
      </w:r>
      <w:bookmarkEnd w:id="9"/>
      <w:bookmarkEnd w:id="10"/>
      <w:bookmarkEnd w:id="11"/>
    </w:p>
    <w:p w14:paraId="1A894830" w14:textId="6116407F" w:rsidR="00485402" w:rsidRPr="00B7788F" w:rsidRDefault="0086737D" w:rsidP="00D47759">
      <w:pPr>
        <w:contextualSpacing/>
        <w:rPr>
          <w:rFonts w:cstheme="minorHAnsi"/>
          <w:sz w:val="22"/>
          <w:szCs w:val="22"/>
        </w:rPr>
      </w:pPr>
      <w:r>
        <w:rPr>
          <w:rFonts w:cstheme="minorHAnsi"/>
          <w:sz w:val="22"/>
          <w:szCs w:val="22"/>
        </w:rPr>
        <w:t>Chakira Lora Rosario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1B7785B7" w14:textId="77777777" w:rsidR="00EA0C46" w:rsidRPr="00EA0C46" w:rsidRDefault="00EA0C46" w:rsidP="00EA0C46">
      <w:pPr>
        <w:jc w:val="both"/>
      </w:pPr>
      <w:r w:rsidRPr="00EA0C46">
        <w:t>To the security requirements for Artemis Financial,  I recommend deploying the AES-256 (Advanced Encryption Standard) algorithm combined with SHA-256, which is a cryptographic hash function that generates a unique 256-bit signature for a given data string, ensuring that any unauthorized modification to the data can be immediately detected through a mismatch in the checksum value.</w:t>
      </w:r>
      <w:r w:rsidRPr="00EA0C46">
        <w:t xml:space="preserve"> </w:t>
      </w:r>
      <w:r w:rsidRPr="00EA0C46">
        <w:t>This algorithm serves as a symmetric block cipher, meaning the same secret key is utilized for both the encryption of plaintext and the decryption of ciphertext.</w:t>
      </w:r>
    </w:p>
    <w:p w14:paraId="7B386131" w14:textId="77777777" w:rsidR="00EA0C46" w:rsidRPr="00EA0C46" w:rsidRDefault="00EA0C46" w:rsidP="00EA0C46">
      <w:pPr>
        <w:jc w:val="both"/>
      </w:pPr>
    </w:p>
    <w:p w14:paraId="5CAB2AA8" w14:textId="3676960C" w:rsidR="00010B8A" w:rsidRPr="00EA0C46" w:rsidRDefault="00EA0C46" w:rsidP="00EA0C46">
      <w:pPr>
        <w:jc w:val="both"/>
      </w:pPr>
      <w:r w:rsidRPr="00EA0C46">
        <w:t>“</w:t>
      </w:r>
      <w:r w:rsidRPr="00EA0C46">
        <w:t>AES-256 encryption is extremely secure. It is the most secure encryption algorithm available today and is used extensively in government and military applications, as well as by businesses operating in highly regulated industries.</w:t>
      </w:r>
      <w:r w:rsidRPr="00EA0C46">
        <w:t xml:space="preserve">” (Kiteworks, 2025). </w:t>
      </w:r>
      <w:r w:rsidRPr="00EA0C46">
        <w:t>The security strength of this cipher relies in its 256-bit key length, which provides an vast number of possible combinations. Originally adopted by the U.S. government to protect "Top Secret" information, it is now the preferred choice for financial institutions to satisfy regulations like PCI DSS and GDPR.</w:t>
      </w:r>
      <w:r w:rsidR="00D01928">
        <w:t xml:space="preserve"> </w:t>
      </w:r>
      <w:r w:rsidRPr="00EA0C46">
        <w:t xml:space="preserve">A critical component of this implementation is the use of random numbers and proper key management. For the encryption to remain secure, keys must be generated using a Cryptographically Secure Pseudo-Random Number Generator to ensure they possess high entropy and are not predictable </w:t>
      </w:r>
      <w:r w:rsidRPr="00EA0C46">
        <w:t>in</w:t>
      </w:r>
      <w:r w:rsidRPr="00EA0C46">
        <w:t xml:space="preserve"> </w:t>
      </w:r>
      <w:r w:rsidRPr="00EA0C46">
        <w:t>cyberattacks</w:t>
      </w:r>
      <w:r w:rsidRPr="00EA0C46">
        <w:t>.</w:t>
      </w:r>
    </w:p>
    <w:p w14:paraId="18693858" w14:textId="77777777" w:rsidR="00EA0C46" w:rsidRPr="00B7788F" w:rsidRDefault="00EA0C46" w:rsidP="00EA0C46">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4F669170" w14:textId="77777777" w:rsidR="00EA0C46" w:rsidRDefault="00EA0C46" w:rsidP="00D47759">
      <w:pPr>
        <w:contextualSpacing/>
        <w:rPr>
          <w:rFonts w:eastAsia="Times New Roman"/>
          <w:sz w:val="22"/>
          <w:szCs w:val="22"/>
        </w:rPr>
      </w:pPr>
    </w:p>
    <w:p w14:paraId="77A5BBC5" w14:textId="66AB9653" w:rsidR="00DB5652" w:rsidRDefault="00D01928" w:rsidP="00D47759">
      <w:pPr>
        <w:contextualSpacing/>
        <w:rPr>
          <w:rFonts w:cstheme="minorHAnsi"/>
          <w:sz w:val="22"/>
          <w:szCs w:val="22"/>
        </w:rPr>
      </w:pPr>
      <w:r>
        <w:rPr>
          <w:rFonts w:cstheme="minorHAnsi"/>
          <w:noProof/>
          <w:sz w:val="22"/>
          <w:szCs w:val="22"/>
        </w:rPr>
        <w:drawing>
          <wp:inline distT="0" distB="0" distL="0" distR="0" wp14:anchorId="5FB2CFDB" wp14:editId="0CC5286F">
            <wp:extent cx="5943600" cy="2002155"/>
            <wp:effectExtent l="0" t="0" r="0" b="0"/>
            <wp:docPr id="1978574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4420" name="Picture 1978574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02155"/>
                    </a:xfrm>
                    <a:prstGeom prst="rect">
                      <a:avLst/>
                    </a:prstGeom>
                  </pic:spPr>
                </pic:pic>
              </a:graphicData>
            </a:graphic>
          </wp:inline>
        </w:drawing>
      </w:r>
    </w:p>
    <w:p w14:paraId="19AE3A98" w14:textId="77777777" w:rsidR="00EA0C46" w:rsidRPr="00B7788F" w:rsidRDefault="00EA0C46" w:rsidP="00D47759">
      <w:pPr>
        <w:contextualSpacing/>
        <w:rPr>
          <w:rFonts w:cstheme="minorHAnsi"/>
          <w:sz w:val="22"/>
          <w:szCs w:val="22"/>
        </w:rPr>
      </w:pPr>
    </w:p>
    <w:p w14:paraId="1EFE886E" w14:textId="77777777" w:rsidR="00D01928" w:rsidRDefault="00E33862" w:rsidP="00D47759">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02D2AB47" w14:textId="1D35F03F" w:rsidR="00DB5652" w:rsidRPr="00D01928" w:rsidRDefault="00D01928" w:rsidP="00D01928">
      <w:pPr>
        <w:pStyle w:val="Heading2"/>
        <w:spacing w:before="0" w:line="240" w:lineRule="auto"/>
      </w:pPr>
      <w:r>
        <w:br/>
      </w:r>
      <w:r>
        <w:rPr>
          <w:rFonts w:eastAsia="Times New Roman"/>
          <w:noProof/>
        </w:rPr>
        <w:drawing>
          <wp:inline distT="0" distB="0" distL="0" distR="0" wp14:anchorId="6D5BE47B" wp14:editId="394E52A4">
            <wp:extent cx="6153217" cy="1155700"/>
            <wp:effectExtent l="0" t="0" r="0" b="6350"/>
            <wp:docPr id="1795382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82225" name="Picture 17953822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5141" cy="1169209"/>
                    </a:xfrm>
                    <a:prstGeom prst="rect">
                      <a:avLst/>
                    </a:prstGeom>
                  </pic:spPr>
                </pic:pic>
              </a:graphicData>
            </a:graphic>
          </wp:inline>
        </w:drawing>
      </w:r>
    </w:p>
    <w:p w14:paraId="3CEA5FDA" w14:textId="295AF91B" w:rsidR="00454B84" w:rsidRDefault="00E4044A" w:rsidP="00454B84">
      <w:pPr>
        <w:pStyle w:val="Heading2"/>
        <w:numPr>
          <w:ilvl w:val="0"/>
          <w:numId w:val="21"/>
        </w:numPr>
        <w:spacing w:before="0" w:line="24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p>
    <w:p w14:paraId="586D27CC" w14:textId="77777777" w:rsidR="00454B84" w:rsidRPr="00B7788F" w:rsidRDefault="00454B84" w:rsidP="00454B84">
      <w:pPr>
        <w:pStyle w:val="Heading2"/>
        <w:spacing w:before="0" w:line="240" w:lineRule="auto"/>
      </w:pPr>
    </w:p>
    <w:p w14:paraId="2CB31EF5" w14:textId="0B4A89A5" w:rsidR="003978A0" w:rsidRDefault="00454B8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58F42E7" wp14:editId="6E9CB37E">
            <wp:extent cx="5943600" cy="3751580"/>
            <wp:effectExtent l="0" t="0" r="0" b="1270"/>
            <wp:docPr id="598529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9898" name="Picture 5985298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51580"/>
                    </a:xfrm>
                    <a:prstGeom prst="rect">
                      <a:avLst/>
                    </a:prstGeom>
                  </pic:spPr>
                </pic:pic>
              </a:graphicData>
            </a:graphic>
          </wp:inline>
        </w:drawing>
      </w:r>
    </w:p>
    <w:p w14:paraId="51D92974" w14:textId="6B168009" w:rsidR="000202DE" w:rsidRDefault="000202DE"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3496F240" w14:textId="1F932597" w:rsidR="00E4044A" w:rsidRDefault="00E4044A" w:rsidP="00D47759">
      <w:pPr>
        <w:contextualSpacing/>
        <w:rPr>
          <w:rFonts w:eastAsia="Times New Roman"/>
          <w:sz w:val="22"/>
          <w:szCs w:val="22"/>
        </w:rPr>
      </w:pPr>
    </w:p>
    <w:p w14:paraId="0C4E80FB" w14:textId="55435F6B" w:rsidR="00617FEA" w:rsidRPr="00B7788F" w:rsidRDefault="00617FEA" w:rsidP="00D47759">
      <w:pPr>
        <w:contextualSpacing/>
        <w:rPr>
          <w:rFonts w:eastAsia="Times New Roman" w:cstheme="minorHAnsi"/>
          <w:sz w:val="22"/>
          <w:szCs w:val="22"/>
        </w:rPr>
      </w:pPr>
      <w:r>
        <w:rPr>
          <w:rFonts w:cstheme="minorHAnsi"/>
          <w:noProof/>
          <w:sz w:val="22"/>
          <w:szCs w:val="22"/>
        </w:rPr>
        <w:drawing>
          <wp:anchor distT="0" distB="0" distL="114300" distR="114300" simplePos="0" relativeHeight="251658240" behindDoc="1" locked="0" layoutInCell="1" allowOverlap="1" wp14:anchorId="10059EAA" wp14:editId="414D85D4">
            <wp:simplePos x="0" y="0"/>
            <wp:positionH relativeFrom="margin">
              <wp:align>right</wp:align>
            </wp:positionH>
            <wp:positionV relativeFrom="paragraph">
              <wp:posOffset>6350</wp:posOffset>
            </wp:positionV>
            <wp:extent cx="5943600" cy="3503294"/>
            <wp:effectExtent l="0" t="0" r="0" b="2540"/>
            <wp:wrapNone/>
            <wp:docPr id="368587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7391" name="Picture 3685873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3294"/>
                    </a:xfrm>
                    <a:prstGeom prst="rect">
                      <a:avLst/>
                    </a:prstGeom>
                  </pic:spPr>
                </pic:pic>
              </a:graphicData>
            </a:graphic>
            <wp14:sizeRelH relativeFrom="margin">
              <wp14:pctWidth>0</wp14:pctWidth>
            </wp14:sizeRelH>
            <wp14:sizeRelV relativeFrom="margin">
              <wp14:pctHeight>0</wp14:pctHeight>
            </wp14:sizeRelV>
          </wp:anchor>
        </w:drawing>
      </w:r>
    </w:p>
    <w:p w14:paraId="099B1CE1" w14:textId="3C77A6B6" w:rsidR="003978A0" w:rsidRDefault="003978A0" w:rsidP="00D47759">
      <w:pPr>
        <w:contextualSpacing/>
        <w:rPr>
          <w:rFonts w:eastAsia="Times New Roman" w:cstheme="minorHAnsi"/>
          <w:sz w:val="22"/>
          <w:szCs w:val="22"/>
        </w:rPr>
      </w:pPr>
    </w:p>
    <w:p w14:paraId="75B70F3E" w14:textId="18CCF6B6" w:rsidR="00DB5652" w:rsidRDefault="00617FEA" w:rsidP="00D47759">
      <w:pPr>
        <w:contextualSpacing/>
        <w:rPr>
          <w:rFonts w:cstheme="minorHAnsi"/>
          <w:sz w:val="22"/>
          <w:szCs w:val="22"/>
        </w:rPr>
      </w:pPr>
      <w:r>
        <w:rPr>
          <w:rFonts w:cstheme="minorHAnsi"/>
          <w:noProof/>
          <w:sz w:val="22"/>
          <w:szCs w:val="22"/>
        </w:rPr>
        <w:lastRenderedPageBreak/>
        <w:drawing>
          <wp:inline distT="0" distB="0" distL="0" distR="0" wp14:anchorId="58AB18CD" wp14:editId="6B4E98EC">
            <wp:extent cx="6178550" cy="3319650"/>
            <wp:effectExtent l="0" t="0" r="0" b="0"/>
            <wp:docPr id="2159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12" name="Picture 21590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3654" cy="3322392"/>
                    </a:xfrm>
                    <a:prstGeom prst="rect">
                      <a:avLst/>
                    </a:prstGeom>
                  </pic:spPr>
                </pic:pic>
              </a:graphicData>
            </a:graphic>
          </wp:inline>
        </w:drawing>
      </w:r>
    </w:p>
    <w:p w14:paraId="4595E95D" w14:textId="77777777" w:rsidR="00617FEA" w:rsidRPr="00B7788F" w:rsidRDefault="00617FEA"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7B9F371C" w14:textId="52F5EA5A" w:rsidR="00E33862" w:rsidRDefault="00E33862" w:rsidP="00D47759">
      <w:pPr>
        <w:contextualSpacing/>
        <w:rPr>
          <w:rFonts w:eastAsia="Times New Roman" w:cstheme="minorHAnsi"/>
          <w:sz w:val="22"/>
          <w:szCs w:val="22"/>
        </w:rPr>
      </w:pPr>
    </w:p>
    <w:p w14:paraId="13498EFE" w14:textId="69D2700A" w:rsidR="00617FEA" w:rsidRDefault="00617FEA" w:rsidP="00D47759">
      <w:pPr>
        <w:contextualSpacing/>
        <w:rPr>
          <w:rFonts w:cstheme="minorHAnsi"/>
          <w:sz w:val="22"/>
          <w:szCs w:val="22"/>
        </w:rPr>
      </w:pPr>
      <w:r>
        <w:rPr>
          <w:rFonts w:cstheme="minorHAnsi"/>
          <w:noProof/>
          <w:sz w:val="22"/>
          <w:szCs w:val="22"/>
        </w:rPr>
        <w:drawing>
          <wp:inline distT="0" distB="0" distL="0" distR="0" wp14:anchorId="49212FAF" wp14:editId="15DA1B1B">
            <wp:extent cx="5943600" cy="3144520"/>
            <wp:effectExtent l="0" t="0" r="0" b="0"/>
            <wp:docPr id="1986370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70166" name="Picture 19863701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44520"/>
                    </a:xfrm>
                    <a:prstGeom prst="rect">
                      <a:avLst/>
                    </a:prstGeom>
                  </pic:spPr>
                </pic:pic>
              </a:graphicData>
            </a:graphic>
          </wp:inline>
        </w:drawing>
      </w:r>
    </w:p>
    <w:p w14:paraId="4FB29715" w14:textId="46C8866F" w:rsidR="00617FEA" w:rsidRPr="00B7788F" w:rsidRDefault="00617FEA" w:rsidP="00D47759">
      <w:pPr>
        <w:rPr>
          <w:rFonts w:cstheme="minorHAnsi"/>
          <w:sz w:val="22"/>
          <w:szCs w:val="22"/>
        </w:rPr>
      </w:pPr>
      <w:r>
        <w:rPr>
          <w:rFonts w:cstheme="minorHAnsi"/>
          <w:sz w:val="22"/>
          <w:szCs w:val="22"/>
        </w:rPr>
        <w:br w:type="page"/>
      </w: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lastRenderedPageBreak/>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2EEC422E" w14:textId="7A449B89" w:rsidR="00730574" w:rsidRPr="00730574" w:rsidRDefault="00730574" w:rsidP="00730574">
      <w:pPr>
        <w:jc w:val="both"/>
      </w:pPr>
      <w:r>
        <w:t>To start off, the</w:t>
      </w:r>
      <w:r w:rsidRPr="00730574">
        <w:t xml:space="preserve"> principle of Defense in Depth was applied by not relying on a single security measure; instead, the system now uses both cryptographic hashing for integrity and TLS encryption for confidentiality. To maintain the existing security of the application, standard Java Cryptography Architecture (JCA) libraries were</w:t>
      </w:r>
      <w:r>
        <w:t>,</w:t>
      </w:r>
      <w:r w:rsidRPr="00730574">
        <w:t xml:space="preserve"> unvetted encryption logic, which ensures that the math behind the security remains robust.</w:t>
      </w:r>
    </w:p>
    <w:p w14:paraId="38B39BC7" w14:textId="77777777" w:rsidR="00730574" w:rsidRPr="00730574" w:rsidRDefault="00730574" w:rsidP="00730574">
      <w:pPr>
        <w:jc w:val="both"/>
      </w:pPr>
    </w:p>
    <w:p w14:paraId="4C02CC3C" w14:textId="2AC8EAE8" w:rsidR="006E3003" w:rsidRDefault="00730574" w:rsidP="00730574">
      <w:pPr>
        <w:jc w:val="both"/>
      </w:pPr>
      <w:r w:rsidRPr="00730574">
        <w:t>Additionally, secure key management practices were followed by using the Java Keytool to generate</w:t>
      </w:r>
      <w:r>
        <w:t xml:space="preserve"> </w:t>
      </w:r>
      <w:r w:rsidRPr="00730574">
        <w:t>RSA keys</w:t>
      </w:r>
      <w:r>
        <w:t>.</w:t>
      </w:r>
      <w:r w:rsidRPr="00730574">
        <w:t xml:space="preserve"> The use of the OWASP Dependency-Check tool allows for the identification of vulnerabilities in the software supply chain, ensuring that third-party libraries do not introduce "backdoor" risks. Applying these practices is vital to the company’s overall well-being because it directly mitigates the risk of costly data breaches and ensures compliance with strict financial regulations like PCI DSS.</w:t>
      </w:r>
    </w:p>
    <w:p w14:paraId="1F9CB07E" w14:textId="77777777" w:rsidR="00730574" w:rsidRDefault="00730574" w:rsidP="00730574">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6D359E8A" w14:textId="0B583338" w:rsidR="00730574" w:rsidRPr="00730574" w:rsidRDefault="00730574" w:rsidP="00730574">
      <w:pPr>
        <w:jc w:val="both"/>
      </w:pPr>
      <w:r w:rsidRPr="00730574">
        <w:t>By modifying the SslServerApplication.java file and implementing a custom REST controller, a secure endpoint was established at the /hash route. This route utilizes the SHA-256 cryptographic algorithm to generate a unique checksum for sensitive data strings, ensuring that any unauthorized changes to the data can be detected through hash verification.</w:t>
      </w:r>
    </w:p>
    <w:p w14:paraId="3D0FFB9C" w14:textId="77777777" w:rsidR="00730574" w:rsidRPr="00730574" w:rsidRDefault="00730574" w:rsidP="00730574">
      <w:pPr>
        <w:jc w:val="both"/>
      </w:pPr>
    </w:p>
    <w:p w14:paraId="1FF52DE5" w14:textId="12170E87" w:rsidR="007C0064" w:rsidRDefault="00730574" w:rsidP="00730574">
      <w:pPr>
        <w:jc w:val="both"/>
      </w:pPr>
      <w:r w:rsidRPr="00730574">
        <w:t>Furthermore, the application’s communication layer was transitioned from a standard, unencrypted HTTP protocol to a secure HTTPS protocol on port 8443. This was achieved by integrating a self-signed</w:t>
      </w:r>
      <w:r w:rsidR="007C0064">
        <w:t xml:space="preserve"> </w:t>
      </w:r>
      <w:r w:rsidRPr="00730574">
        <w:t xml:space="preserve">JKS keystore within the Spring Boot framework through the </w:t>
      </w:r>
      <w:r w:rsidRPr="007C0064">
        <w:rPr>
          <w:b/>
          <w:bCs/>
        </w:rPr>
        <w:t>application.properties</w:t>
      </w:r>
      <w:r w:rsidRPr="00730574">
        <w:t xml:space="preserve"> configuration. By conducting static analysis with the OWASP Dependency-Check tool and performing functional testing to verify successful server execution, the software now complies with established security testing protocols and is significantly more resilient against modern cyber threats.</w:t>
      </w:r>
    </w:p>
    <w:p w14:paraId="760C2FE2" w14:textId="0EB38DD7" w:rsidR="007C0064" w:rsidRDefault="007C0064" w:rsidP="007C0064">
      <w:pPr>
        <w:pStyle w:val="Heading2"/>
      </w:pPr>
      <w:r>
        <w:t>References</w:t>
      </w:r>
    </w:p>
    <w:p w14:paraId="2DDEE65C" w14:textId="57A9255A" w:rsidR="007C0064" w:rsidRDefault="007C0064" w:rsidP="007C0064">
      <w:pPr>
        <w:pStyle w:val="NoSpacing"/>
        <w:rPr>
          <w:i/>
          <w:iCs/>
        </w:rPr>
      </w:pPr>
      <w:r w:rsidRPr="007C0064">
        <w:rPr>
          <w:i/>
          <w:iCs/>
        </w:rPr>
        <w:t xml:space="preserve">Kiteworks. (2025). Everything You Need to Know About AES-256 Encryption. Kiteworks. </w:t>
      </w:r>
      <w:hyperlink r:id="rId19" w:history="1">
        <w:r w:rsidRPr="00CD210C">
          <w:rPr>
            <w:rStyle w:val="Hyperlink"/>
            <w:i/>
            <w:iCs/>
          </w:rPr>
          <w:t>https://www.kiteworks.com/risk-compliance-glossary/aes-256-encryption/</w:t>
        </w:r>
      </w:hyperlink>
    </w:p>
    <w:p w14:paraId="1939121E" w14:textId="77777777" w:rsidR="007C0064" w:rsidRPr="007C0064" w:rsidRDefault="007C0064" w:rsidP="007C0064">
      <w:pPr>
        <w:pStyle w:val="NoSpacing"/>
        <w:rPr>
          <w:i/>
          <w:iCs/>
        </w:rPr>
      </w:pPr>
    </w:p>
    <w:sectPr w:rsidR="007C0064" w:rsidRPr="007C0064"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477F4" w14:textId="77777777" w:rsidR="00466ADB" w:rsidRDefault="00466ADB" w:rsidP="002F3F84">
      <w:r>
        <w:separator/>
      </w:r>
    </w:p>
  </w:endnote>
  <w:endnote w:type="continuationSeparator" w:id="0">
    <w:p w14:paraId="64AD22DE" w14:textId="77777777" w:rsidR="00466ADB" w:rsidRDefault="00466ADB" w:rsidP="002F3F84">
      <w:r>
        <w:continuationSeparator/>
      </w:r>
    </w:p>
  </w:endnote>
  <w:endnote w:type="continuationNotice" w:id="1">
    <w:p w14:paraId="14DEA5B7" w14:textId="77777777" w:rsidR="00466ADB" w:rsidRDefault="00466A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EEB8A" w14:textId="77777777" w:rsidR="00466ADB" w:rsidRDefault="00466ADB" w:rsidP="002F3F84">
      <w:r>
        <w:separator/>
      </w:r>
    </w:p>
  </w:footnote>
  <w:footnote w:type="continuationSeparator" w:id="0">
    <w:p w14:paraId="3DDDDFB9" w14:textId="77777777" w:rsidR="00466ADB" w:rsidRDefault="00466ADB" w:rsidP="002F3F84">
      <w:r>
        <w:continuationSeparator/>
      </w:r>
    </w:p>
  </w:footnote>
  <w:footnote w:type="continuationNotice" w:id="1">
    <w:p w14:paraId="3DB1FBD9" w14:textId="77777777" w:rsidR="00466ADB" w:rsidRDefault="00466A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75452220">
    <w:abstractNumId w:val="16"/>
  </w:num>
  <w:num w:numId="2" w16cid:durableId="727190161">
    <w:abstractNumId w:val="20"/>
  </w:num>
  <w:num w:numId="3" w16cid:durableId="1136412648">
    <w:abstractNumId w:val="6"/>
  </w:num>
  <w:num w:numId="4" w16cid:durableId="877084524">
    <w:abstractNumId w:val="8"/>
  </w:num>
  <w:num w:numId="5" w16cid:durableId="468059687">
    <w:abstractNumId w:val="4"/>
  </w:num>
  <w:num w:numId="6" w16cid:durableId="1418556985">
    <w:abstractNumId w:val="17"/>
  </w:num>
  <w:num w:numId="7" w16cid:durableId="177350755">
    <w:abstractNumId w:val="12"/>
    <w:lvlOverride w:ilvl="0">
      <w:lvl w:ilvl="0">
        <w:numFmt w:val="lowerLetter"/>
        <w:lvlText w:val="%1."/>
        <w:lvlJc w:val="left"/>
      </w:lvl>
    </w:lvlOverride>
  </w:num>
  <w:num w:numId="8" w16cid:durableId="1518622256">
    <w:abstractNumId w:val="5"/>
  </w:num>
  <w:num w:numId="9" w16cid:durableId="409427414">
    <w:abstractNumId w:val="1"/>
    <w:lvlOverride w:ilvl="0">
      <w:lvl w:ilvl="0">
        <w:numFmt w:val="lowerLetter"/>
        <w:lvlText w:val="%1."/>
        <w:lvlJc w:val="left"/>
      </w:lvl>
    </w:lvlOverride>
  </w:num>
  <w:num w:numId="10" w16cid:durableId="1087313082">
    <w:abstractNumId w:val="0"/>
  </w:num>
  <w:num w:numId="11" w16cid:durableId="26372581">
    <w:abstractNumId w:val="3"/>
  </w:num>
  <w:num w:numId="12" w16cid:durableId="1338728533">
    <w:abstractNumId w:val="19"/>
  </w:num>
  <w:num w:numId="13" w16cid:durableId="304816621">
    <w:abstractNumId w:val="15"/>
  </w:num>
  <w:num w:numId="14" w16cid:durableId="928318174">
    <w:abstractNumId w:val="2"/>
  </w:num>
  <w:num w:numId="15" w16cid:durableId="1379939780">
    <w:abstractNumId w:val="11"/>
  </w:num>
  <w:num w:numId="16" w16cid:durableId="1602371890">
    <w:abstractNumId w:val="9"/>
  </w:num>
  <w:num w:numId="17" w16cid:durableId="331690397">
    <w:abstractNumId w:val="14"/>
  </w:num>
  <w:num w:numId="18" w16cid:durableId="1265645950">
    <w:abstractNumId w:val="18"/>
  </w:num>
  <w:num w:numId="19" w16cid:durableId="1441988884">
    <w:abstractNumId w:val="7"/>
  </w:num>
  <w:num w:numId="20" w16cid:durableId="1904947934">
    <w:abstractNumId w:val="13"/>
  </w:num>
  <w:num w:numId="21" w16cid:durableId="538518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67D6B"/>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4B84"/>
    <w:rsid w:val="0045610F"/>
    <w:rsid w:val="0046151B"/>
    <w:rsid w:val="00466AD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17FEA"/>
    <w:rsid w:val="006201FC"/>
    <w:rsid w:val="00632C6F"/>
    <w:rsid w:val="00633225"/>
    <w:rsid w:val="006A66A8"/>
    <w:rsid w:val="006B66FE"/>
    <w:rsid w:val="006D6CA2"/>
    <w:rsid w:val="006E1A73"/>
    <w:rsid w:val="006E3003"/>
    <w:rsid w:val="00701A84"/>
    <w:rsid w:val="0071273D"/>
    <w:rsid w:val="00730574"/>
    <w:rsid w:val="0076659B"/>
    <w:rsid w:val="00790486"/>
    <w:rsid w:val="00793EE5"/>
    <w:rsid w:val="00797EC8"/>
    <w:rsid w:val="007C0064"/>
    <w:rsid w:val="00816AE9"/>
    <w:rsid w:val="00824ABB"/>
    <w:rsid w:val="00826665"/>
    <w:rsid w:val="00844A5D"/>
    <w:rsid w:val="00861EC1"/>
    <w:rsid w:val="0086737D"/>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E33FE"/>
    <w:rsid w:val="00C32F3D"/>
    <w:rsid w:val="00C41B36"/>
    <w:rsid w:val="00C56FC2"/>
    <w:rsid w:val="00C60165"/>
    <w:rsid w:val="00C67FA3"/>
    <w:rsid w:val="00CE44E9"/>
    <w:rsid w:val="00CF445D"/>
    <w:rsid w:val="00CF618A"/>
    <w:rsid w:val="00D01928"/>
    <w:rsid w:val="00D0558B"/>
    <w:rsid w:val="00D47759"/>
    <w:rsid w:val="00DB5652"/>
    <w:rsid w:val="00DD6742"/>
    <w:rsid w:val="00E02BD0"/>
    <w:rsid w:val="00E336F9"/>
    <w:rsid w:val="00E33862"/>
    <w:rsid w:val="00E4044A"/>
    <w:rsid w:val="00E5594E"/>
    <w:rsid w:val="00E66FC0"/>
    <w:rsid w:val="00E941D0"/>
    <w:rsid w:val="00EA0C46"/>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styleId="NoSpacing">
    <w:name w:val="No Spacing"/>
    <w:uiPriority w:val="1"/>
    <w:qFormat/>
    <w:rsid w:val="00EA0C46"/>
  </w:style>
  <w:style w:type="character" w:styleId="UnresolvedMention">
    <w:name w:val="Unresolved Mention"/>
    <w:basedOn w:val="DefaultParagraphFont"/>
    <w:uiPriority w:val="99"/>
    <w:semiHidden/>
    <w:unhideWhenUsed/>
    <w:rsid w:val="007C0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kiteworks.com/risk-compliance-glossary/aes-256-encryp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5355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Lora Rosario, Chakira</cp:lastModifiedBy>
  <cp:revision>3</cp:revision>
  <dcterms:created xsi:type="dcterms:W3CDTF">2026-03-01T20:04:00Z</dcterms:created>
  <dcterms:modified xsi:type="dcterms:W3CDTF">2026-03-01T20:12:00Z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