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Bdr>
          <w:bottom w:val="single" w:sz="8" w:color="444444"/>
        </w:pBdr>
      </w:pPr>
      <w:r>
        <w:rPr>
          <w:b/>
          <w:color w:val="222222"/>
          <w:sz w:val="30"/>
        </w:rPr>
        <w:t>UMOWA POWIERZENIA PRZETWARZANIA DANYCH OSOBOWYCH</w:t>
      </w:r>
    </w:p>
    <w:p>
      <w:pPr>
        <w:spacing w:after="80"/>
      </w:pPr>
      <w:r>
        <w:t>na podstawie art. 28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dalej: „RODO”)</w:t>
      </w:r>
    </w:p>
    <w:p>
      <w:pPr>
        <w:spacing w:after="80"/>
      </w:pPr>
      <w:r>
        <w:t xml:space="preserve">zawarta w dniu </w:t>
      </w:r>
      <w:r>
        <w:rPr>
          <w:i/>
          <w:color w:val="888888"/>
        </w:rPr>
        <w:t>[DATA]</w:t>
      </w:r>
      <w:r>
        <w:t xml:space="preserve"> w Nowym Targu pomiędzy:</w:t>
      </w:r>
    </w:p>
    <w:p>
      <w:pPr>
        <w:spacing w:after="80"/>
      </w:pPr>
      <w:r>
        <w:rPr>
          <w:b/>
        </w:rPr>
        <w:t>Danutą Wójcik</w:t>
      </w:r>
      <w:r>
        <w:t xml:space="preserve">, prowadzącą jednoosobową działalność gospodarczą pod firmą </w:t>
      </w:r>
      <w:r>
        <w:rPr>
          <w:i/>
          <w:color w:val="888888"/>
        </w:rPr>
        <w:t>[firma zgodnie z CEIDG — do potwierdzenia]</w:t>
      </w:r>
      <w:r>
        <w:t xml:space="preserve"> (obiekt noclegowy Willa Wójcik, wynajem pokoi i apartamentów), adres: Sobczańska 9A, 34-443 Sromowce Niżne, NIP 7352462364, REGON 492812030, e-mail: willawojcik1@gmail.com, tel. +48 537 446 036, zwaną dalej „Administratorem”,</w:t>
      </w:r>
    </w:p>
    <w:p>
      <w:pPr>
        <w:spacing w:after="80"/>
      </w:pPr>
      <w:r>
        <w:t>a</w:t>
      </w:r>
    </w:p>
    <w:p>
      <w:pPr>
        <w:spacing w:after="80"/>
      </w:pPr>
      <w:r>
        <w:rPr>
          <w:b/>
        </w:rPr>
        <w:t>Łukaszem Chlebdą</w:t>
      </w:r>
      <w:r>
        <w:t>, prowadzącym jednoosobową działalność gospodarczą pod firmą „AI Solutions Design Łukasz Chlebda”, adres: ul. Majora Stanisława Mroszczaka 19a, 34-400 Nowy Targ, NIP 7352726780, REGON 545534225, e-mail: lukasz.chlebda@aisolutions.design, e-mail w sprawach ochrony danych osobowych: kontakt@aisolutions.design, tel. 512 025 273, zwanym dalej „Procesorem”,</w:t>
      </w:r>
    </w:p>
    <w:p>
      <w:pPr>
        <w:spacing w:after="80"/>
      </w:pPr>
      <w:r>
        <w:t>zwanymi dalej łącznie „Stronami”, a każda z osobna „Stroną”.</w:t>
      </w:r>
    </w:p>
    <w:p>
      <w:pPr>
        <w:keepNext/>
        <w:spacing w:before="360" w:after="120"/>
        <w:pBdr>
          <w:bottom w:val="single" w:sz="4" w:color="888888"/>
        </w:pBdr>
      </w:pPr>
      <w:r>
        <w:rPr>
          <w:b/>
          <w:color w:val="222222"/>
          <w:sz w:val="26"/>
        </w:rPr>
        <w:t>Preambuła</w:t>
      </w:r>
    </w:p>
    <w:p>
      <w:pPr>
        <w:spacing w:after="80"/>
        <w:ind w:left="283" w:hanging="283"/>
      </w:pPr>
      <w:r>
        <w:t xml:space="preserve">1.  Strony łączy umowa o wykonanie strony internetowej i świadczenie usługi hostingu z dnia </w:t>
      </w:r>
      <w:r>
        <w:rPr>
          <w:i/>
          <w:color w:val="888888"/>
        </w:rPr>
        <w:t>[DATA]</w:t>
      </w:r>
      <w:r>
        <w:t xml:space="preserve"> (dalej: „Umowa Główna”), na podstawie której Procesor wykonał, utrzymuje i hostuje stronę internetową Administratora dostępną pod adresem willawojcik.pl (dalej: „Strona”) oraz obsługuje umieszczony na niej formularz zapytania o termin.</w:t>
      </w:r>
    </w:p>
    <w:p>
      <w:pPr>
        <w:spacing w:after="80"/>
        <w:ind w:left="283" w:hanging="283"/>
      </w:pPr>
      <w:r>
        <w:t>2.  W związku z wykonywaniem Umowy Głównej Procesor przetwarza dane osobowe, których administratorem jest Administrator. Niniejsza umowa (dalej: „Umowa”) określa zasady i warunki powierzenia przetwarzania tych danych zgodnie z art. 28 RODO.</w:t>
      </w:r>
    </w:p>
    <w:p>
      <w:pPr>
        <w:spacing w:after="80"/>
        <w:ind w:left="283" w:hanging="283"/>
      </w:pPr>
      <w:r>
        <w:t>3.  W razie sprzeczności postanowień Umowy Głównej i Umowy w zakresie ochrony danych osobowych pierwszeństwo mają postanowienia Umowy.</w:t>
      </w:r>
    </w:p>
    <w:p>
      <w:pPr>
        <w:keepNext/>
        <w:spacing w:before="360" w:after="120"/>
        <w:pBdr>
          <w:bottom w:val="single" w:sz="4" w:color="888888"/>
        </w:pBdr>
      </w:pPr>
      <w:r>
        <w:rPr>
          <w:b/>
          <w:color w:val="222222"/>
          <w:sz w:val="26"/>
        </w:rPr>
        <w:t>§1. Przedmiot i cel powierzenia</w:t>
      </w:r>
    </w:p>
    <w:p>
      <w:pPr>
        <w:spacing w:after="80"/>
        <w:ind w:left="283" w:hanging="283"/>
      </w:pPr>
      <w:r>
        <w:t>1.  Administrator powierza Procesorowi przetwarzanie danych osobowych w zakresie i na zasadach określonych w Umowie, a Procesor zobowiązuje się przetwarzać te dane wyłącznie w zakresie i celu wskazanym w Umowie oraz na udokumentowane polecenie Administratora.</w:t>
      </w:r>
    </w:p>
    <w:p>
      <w:pPr>
        <w:spacing w:after="80"/>
        <w:ind w:left="283" w:hanging="283"/>
      </w:pPr>
      <w:r>
        <w:t>2.  Celem powierzenia jest hosting Strony i obsługa formularza zapytania o termin, tj. przekazanie wiadomości e-mail z treścią zapytania do Administratora oraz potwierdzenia do osoby wysyłającej zapytanie, a także utrzymanie i diagnostyka techniczna Strony w zakresie niezbędnym do realizacji tego celu.</w:t>
      </w:r>
    </w:p>
    <w:p>
      <w:pPr>
        <w:spacing w:after="80"/>
        <w:ind w:left="283" w:hanging="283"/>
      </w:pPr>
      <w:r>
        <w:t>3.  Procesor nie wykorzystuje powierzonych danych do celów własnych ani do celów osób trzecich.</w:t>
      </w:r>
    </w:p>
    <w:p>
      <w:pPr>
        <w:keepNext/>
        <w:spacing w:before="360" w:after="120"/>
        <w:pBdr>
          <w:bottom w:val="single" w:sz="4" w:color="888888"/>
        </w:pBdr>
      </w:pPr>
      <w:r>
        <w:rPr>
          <w:b/>
          <w:color w:val="222222"/>
          <w:sz w:val="26"/>
        </w:rPr>
        <w:t>§2. Czas i charakter przetwarzania</w:t>
      </w:r>
    </w:p>
    <w:p>
      <w:pPr>
        <w:spacing w:after="80"/>
        <w:ind w:left="283" w:hanging="283"/>
      </w:pPr>
      <w:r>
        <w:t>1.  Powierzenie trwa przez czas świadczenia usługi hostingu i utrzymania Strony na podstawie Umowy Głównej, a po jego zakończeniu do czasu usunięcia lub zwrotu danych zgodnie z §10.</w:t>
      </w:r>
    </w:p>
    <w:p>
      <w:pPr>
        <w:spacing w:after="80"/>
        <w:ind w:left="283" w:hanging="283"/>
      </w:pPr>
      <w:r>
        <w:t>2.  Procesor przetwarza powierzone dane w sposób zautomatyzowany, a w zakresie niezbędnym do diagnostyki także ręcznie. Przetwarzanie obejmuje wyłącznie następujące operacje:</w:t>
      </w:r>
    </w:p>
    <w:p>
      <w:pPr>
        <w:spacing w:after="80"/>
        <w:ind w:left="737" w:hanging="283"/>
      </w:pPr>
      <w:r>
        <w:t>a)  przyjęcie danych wpisanych w formularzu zapytania o termin,</w:t>
      </w:r>
    </w:p>
    <w:p>
      <w:pPr>
        <w:spacing w:after="80"/>
        <w:ind w:left="737" w:hanging="283"/>
      </w:pPr>
      <w:r>
        <w:t>b)  przesłanie wiadomości e-mail z treścią zapytania do Administratora oraz potwierdzenia do osoby wysyłającej zapytanie,</w:t>
      </w:r>
    </w:p>
    <w:p>
      <w:pPr>
        <w:spacing w:after="80"/>
        <w:ind w:left="737" w:hanging="283"/>
      </w:pPr>
      <w:r>
        <w:t>c)  krótkotrwałe przechowywanie techniczne danych w logach serwera i w historii wysyłki wiadomości,</w:t>
      </w:r>
    </w:p>
    <w:p>
      <w:pPr>
        <w:spacing w:after="80"/>
        <w:ind w:left="737" w:hanging="283"/>
      </w:pPr>
      <w:r>
        <w:t>d)  przeglądanie danych w zakresie niezbędnym do diagnostyki i usuwania awarii,</w:t>
      </w:r>
    </w:p>
    <w:p>
      <w:pPr>
        <w:spacing w:after="80"/>
        <w:ind w:left="737" w:hanging="283"/>
      </w:pPr>
      <w:r>
        <w:t>e)  usuwanie danych.</w:t>
      </w:r>
    </w:p>
    <w:p>
      <w:pPr>
        <w:spacing w:after="80"/>
        <w:ind w:left="283" w:hanging="283"/>
      </w:pPr>
      <w:r>
        <w:t>3.  Procesor nie prowadzi bazy zapytań. Wiadomość z formularza trafia na skrzynkę pocztową Administratora, za której wybór i za przechowywanie znajdujących się w niej wiadomości odpowiada Administrator. Kopie techniczne danych (logi serwera, historia wysyłki wiadomości) Procesor usuwa albo zapewnia ich usunięcie przez dalsze podmioty przetwarzające najpóźniej po upływie 30 dni od ich powstania.</w:t>
      </w:r>
    </w:p>
    <w:p>
      <w:pPr>
        <w:spacing w:after="80"/>
        <w:ind w:left="283" w:hanging="283"/>
      </w:pPr>
      <w:r>
        <w:t>4.  Procesor nie profiluje osób, których dane dotyczą, ani nie podejmuje wobec nich zautomatyzowanych decyzji wywołujących skutki prawne.</w:t>
      </w:r>
    </w:p>
    <w:p>
      <w:pPr>
        <w:keepNext/>
        <w:spacing w:before="360" w:after="120"/>
        <w:pBdr>
          <w:bottom w:val="single" w:sz="4" w:color="888888"/>
        </w:pBdr>
      </w:pPr>
      <w:r>
        <w:rPr>
          <w:b/>
          <w:color w:val="222222"/>
          <w:sz w:val="26"/>
        </w:rPr>
        <w:t>§3. Rodzaj danych i kategorie osób, których dane dotyczą</w:t>
      </w:r>
    </w:p>
    <w:p>
      <w:pPr>
        <w:spacing w:after="80"/>
        <w:ind w:left="283" w:hanging="283"/>
      </w:pPr>
      <w:r>
        <w:t>1.  Powierzenie obejmuje dane następujących kategorii osób:</w:t>
      </w:r>
    </w:p>
    <w:p>
      <w:pPr>
        <w:spacing w:after="80"/>
        <w:ind w:left="737" w:hanging="283"/>
      </w:pPr>
      <w:r>
        <w:t>a)  gości i osób zainteresowanych pobytem w obiekcie Administratora, które wysyłają zapytanie przez formularz,</w:t>
      </w:r>
    </w:p>
    <w:p>
      <w:pPr>
        <w:spacing w:after="80"/>
        <w:ind w:left="737" w:hanging="283"/>
      </w:pPr>
      <w:r>
        <w:t>b)  użytkowników Strony.</w:t>
      </w:r>
    </w:p>
    <w:p>
      <w:pPr>
        <w:spacing w:after="80"/>
        <w:ind w:left="283" w:hanging="283"/>
      </w:pPr>
      <w:r>
        <w:t>2.  Powierzenie obejmuje następujące rodzaje danych osobowych:</w:t>
      </w:r>
    </w:p>
    <w:p>
      <w:pPr>
        <w:spacing w:after="80"/>
        <w:ind w:left="737" w:hanging="283"/>
      </w:pPr>
      <w:r>
        <w:t>a)  imię i nazwisko,</w:t>
      </w:r>
    </w:p>
    <w:p>
      <w:pPr>
        <w:spacing w:after="80"/>
        <w:ind w:left="737" w:hanging="283"/>
      </w:pPr>
      <w:r>
        <w:t>b)  adres e-mail,</w:t>
      </w:r>
    </w:p>
    <w:p>
      <w:pPr>
        <w:spacing w:after="80"/>
        <w:ind w:left="737" w:hanging="283"/>
      </w:pPr>
      <w:r>
        <w:t>c)  numer telefonu,</w:t>
      </w:r>
    </w:p>
    <w:p>
      <w:pPr>
        <w:spacing w:after="80"/>
        <w:ind w:left="737" w:hanging="283"/>
      </w:pPr>
      <w:r>
        <w:t>d)  daty i szczegóły planowanego pobytu, w tym liczbę osób i wybraną jednostkę noclegową,</w:t>
      </w:r>
    </w:p>
    <w:p>
      <w:pPr>
        <w:spacing w:after="80"/>
        <w:ind w:left="737" w:hanging="283"/>
      </w:pPr>
      <w:r>
        <w:t>e)  treść wiadomości,</w:t>
      </w:r>
    </w:p>
    <w:p>
      <w:pPr>
        <w:spacing w:after="80"/>
        <w:ind w:left="737" w:hanging="283"/>
      </w:pPr>
      <w:r>
        <w:t>f)  adres IP i dane techniczne zapisywane w logach serwera, w szczególności typ przeglądarki, system operacyjny, datę i godzinę wizyty oraz adres wyświetlonej podstrony.</w:t>
      </w:r>
    </w:p>
    <w:p>
      <w:pPr>
        <w:spacing w:after="80"/>
        <w:ind w:left="283" w:hanging="283"/>
      </w:pPr>
      <w:r>
        <w:t>3.  Powierzenie nie obejmuje danych szczególnych kategorii (art. 9 RODO) ani danych dotyczących wyroków skazujących i czynów zabronionych (art. 10 RODO). Formularz nie zawiera pól przeznaczonych na takie dane. Jeżeli osoba wysyłająca zapytanie poda je z własnej inicjatywy w treści wiadomości, Procesor nie wykonuje na nich innych operacji niż przekazanie wiadomości Administratorowi i usunięcie kopii technicznych w terminie określonym w §2 ust. 3.</w:t>
      </w:r>
    </w:p>
    <w:p>
      <w:pPr>
        <w:spacing w:after="80"/>
        <w:ind w:left="283" w:hanging="283"/>
      </w:pPr>
      <w:r>
        <w:t>4.  Szczegółowy opis kategorii osób i danych zawiera Załącznik nr 2.</w:t>
      </w:r>
    </w:p>
    <w:p>
      <w:pPr>
        <w:keepNext/>
        <w:spacing w:before="360" w:after="120"/>
        <w:pBdr>
          <w:bottom w:val="single" w:sz="4" w:color="888888"/>
        </w:pBdr>
      </w:pPr>
      <w:r>
        <w:rPr>
          <w:b/>
          <w:color w:val="222222"/>
          <w:sz w:val="26"/>
        </w:rPr>
        <w:t>§4. Obowiązki Procesora</w:t>
      </w:r>
    </w:p>
    <w:p>
      <w:pPr>
        <w:spacing w:after="80"/>
        <w:ind w:left="283" w:hanging="283"/>
      </w:pPr>
      <w:r>
        <w:t>1.  Procesor przetwarza powierzone dane wyłącznie na udokumentowane polecenie Administratora, co dotyczy także przekazywania danych do państwa trzeciego lub organizacji międzynarodowej, chyba że obowiązek taki nakłada na Procesora prawo Unii lub prawo państwa członkowskiego. W takim przypadku Procesor przed rozpoczęciem przetwarzania informuje Administratora o tym obowiązku, o ile prawo nie zabrania takiego informowania z uwagi na ważny interes publiczny.</w:t>
      </w:r>
    </w:p>
    <w:p>
      <w:pPr>
        <w:spacing w:after="80"/>
        <w:ind w:left="283" w:hanging="283"/>
      </w:pPr>
      <w:r>
        <w:t>2.  Udokumentowanym poleceniem Administratora są postanowienia Umowy i Umowy Głównej, a także polecenia przekazane w formie pisemnej lub w wiadomości e-mail na adresy wskazane w komparycji Umowy.</w:t>
      </w:r>
    </w:p>
    <w:p>
      <w:pPr>
        <w:spacing w:after="80"/>
        <w:ind w:left="283" w:hanging="283"/>
      </w:pPr>
      <w:r>
        <w:t>3.  Jeżeli w ocenie Procesora polecenie Administratora narusza RODO lub inne przepisy o ochronie danych, Procesor niezwłocznie informuje o tym Administratora.</w:t>
      </w:r>
    </w:p>
    <w:p>
      <w:pPr>
        <w:spacing w:after="80"/>
        <w:ind w:left="283" w:hanging="283"/>
      </w:pPr>
      <w:r>
        <w:t>4.  Procesor zapewnia, że osoby upoważnione do przetwarzania powierzonych danych zobowiązały się do zachowania ich poufności oraz poufności sposobów ich zabezpieczenia albo podlegają odpowiedniemu ustawowemu obowiązkowi zachowania tajemnicy. Obowiązek poufności trwa także po zakończeniu Umowy. Procesor dopuszcza do danych wyłącznie osoby, którym dostęp jest niezbędny do realizacji celu określonego w §1 ust. 2.</w:t>
      </w:r>
    </w:p>
    <w:p>
      <w:pPr>
        <w:spacing w:after="80"/>
        <w:ind w:left="283" w:hanging="283"/>
      </w:pPr>
      <w:r>
        <w:t>5.  Procesor przetwarza powierzone dane zgodnie z RODO, Umową i innymi przepisami o ochronie danych osobowych.</w:t>
      </w:r>
    </w:p>
    <w:p>
      <w:pPr>
        <w:keepNext/>
        <w:spacing w:before="360" w:after="120"/>
        <w:pBdr>
          <w:bottom w:val="single" w:sz="4" w:color="888888"/>
        </w:pBdr>
      </w:pPr>
      <w:r>
        <w:rPr>
          <w:b/>
          <w:color w:val="222222"/>
          <w:sz w:val="26"/>
        </w:rPr>
        <w:t>§5. Bezpieczeństwo przetwarzania (art. 32 RODO)</w:t>
      </w:r>
    </w:p>
    <w:p>
      <w:pPr>
        <w:spacing w:after="80"/>
        <w:ind w:left="283" w:hanging="283"/>
      </w:pPr>
      <w:r>
        <w:t>1.  Procesor stosuje środki techniczne i organizacyjne zapewniające stopień bezpieczeństwa odpowiadający ryzyku naruszenia praw lub wolności osób, których dane dotyczą, z uwzględnieniem stanu wiedzy technicznej, kosztu wdrożenia oraz charakteru, zakresu, kontekstu i celów przetwarzania.</w:t>
      </w:r>
    </w:p>
    <w:p>
      <w:pPr>
        <w:spacing w:after="80"/>
        <w:ind w:left="283" w:hanging="283"/>
      </w:pPr>
      <w:r>
        <w:t>2.  Procesor stosuje w szczególności następujące środki:</w:t>
      </w:r>
    </w:p>
    <w:p>
      <w:pPr>
        <w:spacing w:after="80"/>
        <w:ind w:left="737" w:hanging="283"/>
      </w:pPr>
      <w:r>
        <w:t>a)  szyfrowanie transmisji danych protokołem TLS (połączenie HTTPS) na Stronie, w formularzu oraz w połączeniach z usługami dalszych podmiotów przetwarzających,</w:t>
      </w:r>
    </w:p>
    <w:p>
      <w:pPr>
        <w:spacing w:after="80"/>
        <w:ind w:left="737" w:hanging="283"/>
      </w:pPr>
      <w:r>
        <w:t>b)  uwierzytelnianie dwuskładnikowe na kontach Procesora u dostawców usług, o których mowa w Załączniku nr 1, jeżeli dostawca udostępnia taką funkcję,</w:t>
      </w:r>
    </w:p>
    <w:p>
      <w:pPr>
        <w:spacing w:after="80"/>
        <w:ind w:left="737" w:hanging="283"/>
      </w:pPr>
      <w:r>
        <w:t>c)  zasadę minimalnego dostępu, zgodnie z którą dostęp do danych i systemów mają wyłącznie osoby i procesy, dla których jest on niezbędny,</w:t>
      </w:r>
    </w:p>
    <w:p>
      <w:pPr>
        <w:spacing w:after="80"/>
        <w:ind w:left="737" w:hanging="283"/>
      </w:pPr>
      <w:r>
        <w:t>d)  kopie zapasowe konfiguracji Strony i automatyzacji obsługującej formularz, które nie zawierają danych przesłanych przez formularz,</w:t>
      </w:r>
    </w:p>
    <w:p>
      <w:pPr>
        <w:spacing w:after="80"/>
        <w:ind w:left="737" w:hanging="283"/>
      </w:pPr>
      <w:r>
        <w:t>e)  przechowywanie kopii technicznych danych nie dłużej niż przez 30 dni,</w:t>
      </w:r>
    </w:p>
    <w:p>
      <w:pPr>
        <w:spacing w:after="80"/>
        <w:ind w:left="737" w:hanging="283"/>
      </w:pPr>
      <w:r>
        <w:t>f)  bieżące aktualizacje oprogramowania i zależności w zakresie kontrolowanym przez Procesora,</w:t>
      </w:r>
    </w:p>
    <w:p>
      <w:pPr>
        <w:spacing w:after="80"/>
        <w:ind w:left="737" w:hanging="283"/>
      </w:pPr>
      <w:r>
        <w:t>g)  korzystanie z usług, w ramach których dane są przetwarzane w Europejskim Obszarze Gospodarczym (dalej: „EOG”), jeżeli jest to możliwe, a w pozostałym zakresie przekazywanie danych na podstawach wskazanych w Załączniku nr 1.</w:t>
      </w:r>
    </w:p>
    <w:p>
      <w:pPr>
        <w:spacing w:after="80"/>
        <w:ind w:left="283" w:hanging="283"/>
      </w:pPr>
      <w:r>
        <w:t>3.  Procesor okresowo ocenia skuteczność stosowanych środków i w razie potrzeby je aktualizuje.</w:t>
      </w:r>
    </w:p>
    <w:p>
      <w:pPr>
        <w:spacing w:after="80"/>
        <w:ind w:left="283" w:hanging="283"/>
      </w:pPr>
      <w:r>
        <w:t>4.  Szczegółowy wykaz środków bezpieczeństwa zawiera Załącznik nr 2.</w:t>
      </w:r>
    </w:p>
    <w:p>
      <w:pPr>
        <w:keepNext/>
        <w:spacing w:before="360" w:after="120"/>
        <w:pBdr>
          <w:bottom w:val="single" w:sz="4" w:color="888888"/>
        </w:pBdr>
      </w:pPr>
      <w:r>
        <w:rPr>
          <w:b/>
          <w:color w:val="222222"/>
          <w:sz w:val="26"/>
        </w:rPr>
        <w:t>§6. Dalsze powierzenie przetwarzania</w:t>
      </w:r>
    </w:p>
    <w:p>
      <w:pPr>
        <w:spacing w:after="80"/>
        <w:ind w:left="283" w:hanging="283"/>
      </w:pPr>
      <w:r>
        <w:t>1.  Administrator wyraża ogólną zgodę na korzystanie przez Procesora z usług dalszych podmiotów przetwarzających wymienionych w Załączniku nr 1 (art. 28 ust. 2 RODO).</w:t>
      </w:r>
    </w:p>
    <w:p>
      <w:pPr>
        <w:spacing w:after="80"/>
        <w:ind w:left="283" w:hanging="283"/>
      </w:pPr>
      <w:r>
        <w:t>2.  Procesor informuje Administratora w wiadomości e-mail o każdej zamierzonej zmianie dotyczącej dodania lub zastąpienia dalszego podmiotu przetwarzającego, co najmniej 14 dni przed wprowadzeniem zmiany.</w:t>
      </w:r>
    </w:p>
    <w:p>
      <w:pPr>
        <w:spacing w:after="80"/>
        <w:ind w:left="283" w:hanging="283"/>
      </w:pPr>
      <w:r>
        <w:t>3.  W terminie 14 dni od otrzymania informacji, o której mowa w ust. 2, Administrator może zgłosić uzasadniony sprzeciw wobec zmiany. W razie sprzeciwu Strony w dobrej wierze poszukują rozwiązania uwzględniającego zastrzeżenia Administratora. Jeżeli nie dojdą do porozumienia, Administrator może wypowiedzieć Umowę oraz usługę hostingu i utrzymania Strony objętą Umową Główną, bez kar i dodatkowych opłat.</w:t>
      </w:r>
    </w:p>
    <w:p>
      <w:pPr>
        <w:spacing w:after="80"/>
        <w:ind w:left="283" w:hanging="283"/>
      </w:pPr>
      <w:r>
        <w:t>4.  Procesor nakłada na każdy dalszy podmiot przetwarzający, w drodze umowy lub innego instrumentu prawnego, obowiązki ochrony danych odpowiadające obowiązkom wynikającym z Umowy. Jeżeli dalszy podmiot przetwarzający nie wywiązuje się ze swoich obowiązków ochrony danych, pełna odpowiedzialność wobec Administratora za ich wypełnienie spoczywa na Procesorze.</w:t>
      </w:r>
    </w:p>
    <w:p>
      <w:pPr>
        <w:spacing w:after="80"/>
        <w:ind w:left="283" w:hanging="283"/>
      </w:pPr>
      <w:r>
        <w:t>5.  Jeżeli dalszy podmiot przetwarzający przetwarza dane poza EOG, Procesor zapewnia, że przekazanie danych następuje wyłącznie na podstawie odpowiednich zabezpieczeń przewidzianych w rozdziale V RODO, w szczególności decyzji Komisji Europejskiej stwierdzającej odpowiedni stopień ochrony (w tym ram EU-U.S. Data Privacy Framework) lub standardowych klauzul umownych.</w:t>
      </w:r>
    </w:p>
    <w:p>
      <w:pPr>
        <w:spacing w:after="80"/>
        <w:ind w:left="283" w:hanging="283"/>
      </w:pPr>
      <w:r>
        <w:t>6.  Mapa Google na Stronie ładuje się dopiero po kliknięciu przez użytkownika. Dostawca mapy przetwarza dane użytkownika jako odrębny administrator, a nie jako dalszy podmiot przetwarzający Procesora.</w:t>
      </w:r>
    </w:p>
    <w:p>
      <w:pPr>
        <w:keepNext/>
        <w:spacing w:before="360" w:after="120"/>
        <w:pBdr>
          <w:bottom w:val="single" w:sz="4" w:color="888888"/>
        </w:pBdr>
      </w:pPr>
      <w:r>
        <w:rPr>
          <w:b/>
          <w:color w:val="222222"/>
          <w:sz w:val="26"/>
        </w:rPr>
        <w:t>§7. Pomoc Administratorowi</w:t>
      </w:r>
    </w:p>
    <w:p>
      <w:pPr>
        <w:spacing w:after="80"/>
        <w:ind w:left="283" w:hanging="283"/>
      </w:pPr>
      <w:r>
        <w:t>1.  Procesor, biorąc pod uwagę charakter przetwarzania, w miarę możliwości pomaga Administratorowi, poprzez odpowiednie środki techniczne i organizacyjne, wywiązać się z obowiązku odpowiadania na żądania osób, których dane dotyczą, w zakresie wykonywania ich praw określonych w rozdziale III RODO, w szczególności prawa dostępu do danych, ich sprostowania, usunięcia, ograniczenia przetwarzania, przenoszenia danych oraz prawa sprzeciwu.</w:t>
      </w:r>
    </w:p>
    <w:p>
      <w:pPr>
        <w:spacing w:after="80"/>
        <w:ind w:left="283" w:hanging="283"/>
      </w:pPr>
      <w:r>
        <w:t>2.  Jeżeli osoba, której dane dotyczą, skieruje żądanie bezpośrednio do Procesora, Procesor niezwłocznie, nie później niż w terminie 3 dni roboczych, przekazuje je Administratorowi i nie realizuje go samodzielnie, chyba że Administrator wyda takie polecenie.</w:t>
      </w:r>
    </w:p>
    <w:p>
      <w:pPr>
        <w:spacing w:after="80"/>
        <w:ind w:left="283" w:hanging="283"/>
      </w:pPr>
      <w:r>
        <w:t>3.  Procesor, uwzględniając charakter przetwarzania oraz dostępne mu informacje, pomaga Administratorowi wywiązać się z obowiązków określonych w art. 32–36 RODO, w szczególności w zakresie bezpieczeństwa przetwarzania, zgłaszania naruszeń ochrony danych organowi nadzorczemu, zawiadamiania osób, których dane dotyczą, oceny skutków dla ochrony danych oraz uprzednich konsultacji z organem nadzorczym.</w:t>
      </w:r>
    </w:p>
    <w:p>
      <w:pPr>
        <w:spacing w:after="80"/>
        <w:ind w:left="283" w:hanging="283"/>
      </w:pPr>
      <w:r>
        <w:t>4.  Czynności wykraczające poza zwykły zakres pomocy mogą zostać rozliczone na zasadach określonych w Umowie Głównej, jeżeli Strony tak postanowią.</w:t>
      </w:r>
    </w:p>
    <w:p>
      <w:pPr>
        <w:keepNext/>
        <w:spacing w:before="360" w:after="120"/>
        <w:pBdr>
          <w:bottom w:val="single" w:sz="4" w:color="888888"/>
        </w:pBdr>
      </w:pPr>
      <w:r>
        <w:rPr>
          <w:b/>
          <w:color w:val="222222"/>
          <w:sz w:val="26"/>
        </w:rPr>
        <w:t>§8. Zgłaszanie naruszeń ochrony danych osobowych</w:t>
      </w:r>
    </w:p>
    <w:p>
      <w:pPr>
        <w:spacing w:after="80"/>
        <w:ind w:left="283" w:hanging="283"/>
      </w:pPr>
      <w:r>
        <w:t>1.  Procesor zgłasza Administratorowi naruszenie ochrony powierzonych danych osobowych bez zbędnej zwłoki, nie później niż w terminie 24 godzin od jego wykrycia.</w:t>
      </w:r>
    </w:p>
    <w:p>
      <w:pPr>
        <w:spacing w:after="80"/>
        <w:ind w:left="283" w:hanging="283"/>
      </w:pPr>
      <w:r>
        <w:t>2.  Zgłoszenie przesyła się w wiadomości e-mail na adres Administratora wskazany w komparycji Umowy. Zgłoszenie zawiera co najmniej:</w:t>
      </w:r>
    </w:p>
    <w:p>
      <w:pPr>
        <w:spacing w:after="80"/>
        <w:ind w:left="737" w:hanging="283"/>
      </w:pPr>
      <w:r>
        <w:t>a)  opis charakteru naruszenia, w tym w miarę możliwości kategorie i przybliżoną liczbę osób oraz wpisów danych, których naruszenie dotyczy,</w:t>
      </w:r>
    </w:p>
    <w:p>
      <w:pPr>
        <w:spacing w:after="80"/>
        <w:ind w:left="737" w:hanging="283"/>
      </w:pPr>
      <w:r>
        <w:t>b)  imię, nazwisko i dane kontaktowe osoby, od której można uzyskać więcej informacji,</w:t>
      </w:r>
    </w:p>
    <w:p>
      <w:pPr>
        <w:spacing w:after="80"/>
        <w:ind w:left="737" w:hanging="283"/>
      </w:pPr>
      <w:r>
        <w:t>c)  opis możliwych konsekwencji naruszenia,</w:t>
      </w:r>
    </w:p>
    <w:p>
      <w:pPr>
        <w:spacing w:after="80"/>
        <w:ind w:left="737" w:hanging="283"/>
      </w:pPr>
      <w:r>
        <w:t>d)  opis środków zastosowanych lub proponowanych w celu zaradzenia naruszeniu i zminimalizowania jego skutków.</w:t>
      </w:r>
    </w:p>
    <w:p>
      <w:pPr>
        <w:spacing w:after="80"/>
        <w:ind w:left="283" w:hanging="283"/>
      </w:pPr>
      <w:r>
        <w:t>3.  Jeżeli nie jest możliwe przekazanie wszystkich informacji jednocześnie, Procesor przekazuje je sukcesywnie, bez zbędnej zwłoki.</w:t>
      </w:r>
    </w:p>
    <w:p>
      <w:pPr>
        <w:spacing w:after="80"/>
        <w:ind w:left="283" w:hanging="283"/>
      </w:pPr>
      <w:r>
        <w:t>4.  Procesor udziela Administratorowi informacji i wsparcia niezbędnych do wykonania obowiązków wobec Prezesa Urzędu Ochrony Danych Osobowych oraz osób, których dane dotyczą.</w:t>
      </w:r>
    </w:p>
    <w:p>
      <w:pPr>
        <w:spacing w:after="80"/>
        <w:ind w:left="283" w:hanging="283"/>
      </w:pPr>
      <w:r>
        <w:t>5.  Procesor dokumentuje naruszenia ochrony powierzonych danych i prowadzi ich rejestr.</w:t>
      </w:r>
    </w:p>
    <w:p>
      <w:pPr>
        <w:keepNext/>
        <w:spacing w:before="360" w:after="120"/>
        <w:pBdr>
          <w:bottom w:val="single" w:sz="4" w:color="888888"/>
        </w:pBdr>
      </w:pPr>
      <w:r>
        <w:rPr>
          <w:b/>
          <w:color w:val="222222"/>
          <w:sz w:val="26"/>
        </w:rPr>
        <w:t>§9. Informacje i audyt</w:t>
      </w:r>
    </w:p>
    <w:p>
      <w:pPr>
        <w:spacing w:after="80"/>
        <w:ind w:left="283" w:hanging="283"/>
      </w:pPr>
      <w:r>
        <w:t>1.  Procesor udostępnia Administratorowi wszelkie informacje niezbędne do wykazania spełnienia obowiązków określonych w art. 28 RODO i w Umowie.</w:t>
      </w:r>
    </w:p>
    <w:p>
      <w:pPr>
        <w:spacing w:after="80"/>
        <w:ind w:left="283" w:hanging="283"/>
      </w:pPr>
      <w:r>
        <w:t>2.  Procesor umożliwia Administratorowi lub upoważnionemu przez niego audytorowi przeprowadzanie audytów, w tym inspekcji, i współpracuje przy ich przeprowadzaniu (art. 28 ust. 3 lit. h RODO).</w:t>
      </w:r>
    </w:p>
    <w:p>
      <w:pPr>
        <w:spacing w:after="80"/>
        <w:ind w:left="283" w:hanging="283"/>
      </w:pPr>
      <w:r>
        <w:t>3.  Administrator zawiadamia Procesora o zamiarze przeprowadzenia audytu co najmniej 14 dni przed jego rozpoczęciem, z wyjątkiem audytu przeprowadzanego w związku z podejrzeniem naruszenia ochrony danych. Audyt przeprowadza się w dni robocze, w godzinach pracy Procesora, w sposób możliwie najmniej zakłócający jego działalność oraz z poszanowaniem poufności danych innych klientów Procesora i jego tajemnicy przedsiębiorstwa.</w:t>
      </w:r>
    </w:p>
    <w:p>
      <w:pPr>
        <w:spacing w:after="80"/>
        <w:ind w:left="283" w:hanging="283"/>
      </w:pPr>
      <w:r>
        <w:t>4.  Procesor współpracuje z Prezesem Urzędu Ochrony Danych Osobowych w zakresie wykonywanych zadań, w tym udostępnia mu informacje i umożliwia przeprowadzenie czynności kontrolnych dotyczących powierzonego przetwarzania.</w:t>
      </w:r>
    </w:p>
    <w:p>
      <w:pPr>
        <w:keepNext/>
        <w:spacing w:before="360" w:after="120"/>
        <w:pBdr>
          <w:bottom w:val="single" w:sz="4" w:color="888888"/>
        </w:pBdr>
      </w:pPr>
      <w:r>
        <w:rPr>
          <w:b/>
          <w:color w:val="222222"/>
          <w:sz w:val="26"/>
        </w:rPr>
        <w:t>§10. Usunięcie lub zwrot danych po zakończeniu przetwarzania</w:t>
      </w:r>
    </w:p>
    <w:p>
      <w:pPr>
        <w:spacing w:after="80"/>
        <w:ind w:left="283" w:hanging="283"/>
      </w:pPr>
      <w:r>
        <w:t>1.  Po zakończeniu świadczenia usług związanych z przetwarzaniem Procesor, zależnie od decyzji Administratora, usuwa powierzone dane wraz ze wszystkimi ich kopiami albo zwraca je Administratorowi, chyba że prawo Unii lub prawo państwa członkowskiego nakazuje ich przechowywanie.</w:t>
      </w:r>
    </w:p>
    <w:p>
      <w:pPr>
        <w:spacing w:after="80"/>
        <w:ind w:left="283" w:hanging="283"/>
      </w:pPr>
      <w:r>
        <w:t>2.  Administrator może wskazać wybrany sposób postępowania w formie pisemnej lub w wiadomości e-mail najpóźniej w dniu zakończenia powierzenia. W braku takiego wskazania Procesor usuwa dane.</w:t>
      </w:r>
    </w:p>
    <w:p>
      <w:pPr>
        <w:spacing w:after="80"/>
        <w:ind w:left="283" w:hanging="283"/>
      </w:pPr>
      <w:r>
        <w:t>3.  Procesor usuwa albo zwraca dane, w tym kopie techniczne u dalszych podmiotów przetwarzających, w terminie 30 dni od dnia zakończenia powierzenia. Zwrot następuje w ustrukturyzowanym, powszechnie używanym formacie elektronicznym i dotyczy wyłącznie danych, które w tym dniu pozostają w posiadaniu Procesora.</w:t>
      </w:r>
    </w:p>
    <w:p>
      <w:pPr>
        <w:spacing w:after="80"/>
        <w:ind w:left="283" w:hanging="283"/>
      </w:pPr>
      <w:r>
        <w:t>4.  Na żądanie Administratora Procesor potwierdza w wiadomości e-mail usunięcie lub zwrot danych.</w:t>
      </w:r>
    </w:p>
    <w:p>
      <w:pPr>
        <w:keepNext/>
        <w:spacing w:before="360" w:after="120"/>
        <w:pBdr>
          <w:bottom w:val="single" w:sz="4" w:color="888888"/>
        </w:pBdr>
      </w:pPr>
      <w:r>
        <w:rPr>
          <w:b/>
          <w:color w:val="222222"/>
          <w:sz w:val="26"/>
        </w:rPr>
        <w:t>§11. Odpowiedzialność</w:t>
      </w:r>
    </w:p>
    <w:p>
      <w:pPr>
        <w:spacing w:after="80"/>
        <w:ind w:left="283" w:hanging="283"/>
      </w:pPr>
      <w:r>
        <w:t>1.  Każda ze Stron odpowiada za szkody wyrządzone przetwarzaniem danych osobowych na zasadach określonych w art. 82 RODO oraz w przepisach prawa polskiego.</w:t>
      </w:r>
    </w:p>
    <w:p>
      <w:pPr>
        <w:spacing w:after="80"/>
        <w:ind w:left="283" w:hanging="283"/>
      </w:pPr>
      <w:r>
        <w:t>2.  Procesor odpowiada za szkody spowodowane przetwarzaniem wyłącznie wtedy, gdy nie dopełnił obowiązków, które RODO nakłada bezpośrednio na podmioty przetwarzające, lub gdy działał poza zgodnymi z prawem poleceniami Administratora albo wbrew tym poleceniom.</w:t>
      </w:r>
    </w:p>
    <w:p>
      <w:pPr>
        <w:spacing w:after="80"/>
        <w:ind w:left="283" w:hanging="283"/>
      </w:pPr>
      <w:r>
        <w:t>3.  Procesor odpowiada wobec Administratora za działania i zaniechania dalszych podmiotów przetwarzających, z których usług korzysta, jak za własne, w zakresie obowiązków ochrony danych.</w:t>
      </w:r>
    </w:p>
    <w:p>
      <w:pPr>
        <w:spacing w:after="80"/>
        <w:ind w:left="283" w:hanging="283"/>
      </w:pPr>
      <w:r>
        <w:t>4.  Jeżeli Procesor zapłaci odszkodowanie za całość szkody, przysługuje mu roszczenie regresowe wobec pozostałych podmiotów odpowiedzialnych za tę samą szkodę, w części odpowiadającej ich udziałowi w odpowiedzialności (art. 82 ust. 5 RODO).</w:t>
      </w:r>
    </w:p>
    <w:p>
      <w:pPr>
        <w:spacing w:after="80"/>
        <w:ind w:left="283" w:hanging="283"/>
      </w:pPr>
      <w:r>
        <w:t>5.  Do odpowiedzialności Procesora wobec Administratora stosuje się ograniczenie odpowiedzialności przewidziane w Umowie Głównej. Ograniczenie to nie wyłącza ani nie ogranicza odpowiedzialności wynikającej z bezwzględnie obowiązujących przepisów o ochronie danych osobowych ani odpowiedzialności za szkodę wyrządzoną umyślnie.</w:t>
      </w:r>
    </w:p>
    <w:p>
      <w:pPr>
        <w:keepNext/>
        <w:spacing w:before="360" w:after="120"/>
        <w:pBdr>
          <w:bottom w:val="single" w:sz="4" w:color="888888"/>
        </w:pBdr>
      </w:pPr>
      <w:r>
        <w:rPr>
          <w:b/>
          <w:color w:val="222222"/>
          <w:sz w:val="26"/>
        </w:rPr>
        <w:t>§12. Postanowienia końcowe</w:t>
      </w:r>
    </w:p>
    <w:p>
      <w:pPr>
        <w:spacing w:after="80"/>
        <w:ind w:left="283" w:hanging="283"/>
      </w:pPr>
      <w:r>
        <w:t>1.  Umowa wchodzi w życie z dniem jej zawarcia i obowiązuje przez czas świadczenia usługi hostingu i utrzymania Strony na podstawie Umowy Głównej, a w zakresie obowiązków dotyczących usunięcia lub zwrotu danych oraz poufności do czasu ich pełnego wykonania.</w:t>
      </w:r>
    </w:p>
    <w:p>
      <w:pPr>
        <w:spacing w:after="80"/>
        <w:ind w:left="283" w:hanging="283"/>
      </w:pPr>
      <w:r>
        <w:t>2.  Umowa wygasa z chwilą zakończenia usługi hostingu i utrzymania Strony, z zastrzeżeniem ust. 1. Administrator może ponadto wypowiedzieć Umowę w przypadku, o którym mowa w §6 ust. 3, a także ze skutkiem natychmiastowym w razie rażącego naruszenia przez Procesora obowiązków wynikających z Umowy lub RODO.</w:t>
      </w:r>
    </w:p>
    <w:p>
      <w:pPr>
        <w:spacing w:after="80"/>
        <w:ind w:left="283" w:hanging="283"/>
      </w:pPr>
      <w:r>
        <w:t>3.  W sprawach nieuregulowanych Umową stosuje się przepisy RODO oraz prawa polskiego, w szczególności ustawy z dnia 10 maja 2018 r. o ochronie danych osobowych oraz Kodeksu cywilnego.</w:t>
      </w:r>
    </w:p>
    <w:p>
      <w:pPr>
        <w:spacing w:after="80"/>
        <w:ind w:left="283" w:hanging="283"/>
      </w:pPr>
      <w:r>
        <w:t>4.  Spory wynikające z Umowy Strony będą starały się rozwiązać polubownie, a w razie braku porozumienia rozstrzyga je sąd powszechny właściwy dla miejsca wykonywania działalności gospodarczej przez Administratora.</w:t>
      </w:r>
    </w:p>
    <w:p>
      <w:pPr>
        <w:spacing w:after="80"/>
        <w:ind w:left="283" w:hanging="283"/>
      </w:pPr>
      <w:r>
        <w:t>5.  Umowę zawarto w formie pisemnej albo w formie elektronicznej opatrzonej kwalifikowanymi podpisami elektronicznymi obu Stron. Zmiany Umowy wymagają formy pisemnej albo elektronicznej pod rygorem nieważności. Zmiana wykazu dalszych podmiotów przetwarzających w trybie określonym w §6 ust. 2 i 3 nie stanowi zmiany Umowy.</w:t>
      </w:r>
    </w:p>
    <w:p>
      <w:pPr>
        <w:spacing w:after="80"/>
        <w:ind w:left="283" w:hanging="283"/>
      </w:pPr>
      <w:r>
        <w:t>6.  Integralną część Umowy stanowią:</w:t>
      </w:r>
    </w:p>
    <w:p>
      <w:pPr>
        <w:spacing w:after="80"/>
        <w:ind w:left="737" w:hanging="283"/>
      </w:pPr>
      <w:r>
        <w:t>a)  Załącznik nr 1: wykaz dalszych podmiotów przetwarzających,</w:t>
      </w:r>
    </w:p>
    <w:p>
      <w:pPr>
        <w:spacing w:after="80"/>
        <w:ind w:left="737" w:hanging="283"/>
      </w:pPr>
      <w:r>
        <w:t>b)  Załącznik nr 2: szczegółowy opis kategorii osób i danych oraz środków bezpieczeństwa.</w:t>
      </w:r>
    </w:p>
    <w:p>
      <w:pPr>
        <w:spacing w:after="80"/>
        <w:ind w:left="283" w:hanging="283"/>
      </w:pPr>
      <w:r>
        <w:t>7.  Umowę sporządzono w dwóch jednobrzmiących egzemplarzach, po jednym dla każdej ze Stron.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3"/>
        <w:gridCol w:w="4703"/>
      </w:tblGrid>
      <w:tr>
        <w:tc>
          <w:tcPr>
            <w:tcW w:type="dxa" w:w="4703"/>
          </w:tcPr>
          <w:p>
            <w:pPr>
              <w:spacing w:before="480" w:after="40"/>
              <w:jc w:val="center"/>
            </w:pPr>
            <w:r/>
            <w:r>
              <w:rPr>
                <w:color w:val="888888"/>
                <w:sz w:val="20"/>
              </w:rPr>
              <w:t>________________________________</w:t>
            </w:r>
          </w:p>
          <w:p>
            <w:pPr>
              <w:spacing w:after="0"/>
              <w:jc w:val="center"/>
            </w:pPr>
            <w:r>
              <w:rPr>
                <w:b/>
                <w:sz w:val="20"/>
              </w:rPr>
              <w:t>Administrator</w:t>
            </w:r>
          </w:p>
          <w:p>
            <w:pPr>
              <w:spacing w:after="0"/>
              <w:jc w:val="center"/>
            </w:pPr>
            <w:r>
              <w:rPr>
                <w:color w:val="888888"/>
                <w:sz w:val="18"/>
              </w:rPr>
              <w:t>Danuta Wójcik</w:t>
            </w:r>
          </w:p>
        </w:tc>
        <w:tc>
          <w:tcPr>
            <w:tcW w:type="dxa" w:w="4703"/>
          </w:tcPr>
          <w:p>
            <w:pPr>
              <w:spacing w:before="480" w:after="40"/>
              <w:jc w:val="center"/>
            </w:pPr>
            <w:r/>
            <w:r>
              <w:rPr>
                <w:color w:val="888888"/>
                <w:sz w:val="20"/>
              </w:rPr>
              <w:t>________________________________</w:t>
            </w:r>
          </w:p>
          <w:p>
            <w:pPr>
              <w:spacing w:after="0"/>
              <w:jc w:val="center"/>
            </w:pPr>
            <w:r>
              <w:rPr>
                <w:b/>
                <w:sz w:val="20"/>
              </w:rPr>
              <w:t>Procesor</w:t>
            </w:r>
          </w:p>
          <w:p>
            <w:pPr>
              <w:spacing w:after="0"/>
              <w:jc w:val="center"/>
            </w:pPr>
            <w:r>
              <w:rPr>
                <w:color w:val="888888"/>
                <w:sz w:val="18"/>
              </w:rPr>
              <w:t>Łukasz Chlebda</w:t>
            </w:r>
          </w:p>
        </w:tc>
      </w:tr>
      <w:tr>
        <w:tc>
          <w:tcPr>
            <w:tcW w:type="dxa" w:w="4703"/>
          </w:tcPr>
          <w:p>
            <w:pPr>
              <w:spacing w:before="160" w:after="0"/>
              <w:jc w:val="center"/>
            </w:pPr>
            <w:r/>
            <w:r>
              <w:rPr>
                <w:color w:val="888888"/>
                <w:sz w:val="18"/>
              </w:rPr>
              <w:t xml:space="preserve">Data: </w:t>
            </w:r>
            <w:r>
              <w:rPr>
                <w:i/>
                <w:color w:val="888888"/>
                <w:sz w:val="18"/>
              </w:rPr>
              <w:t>[DATA]</w:t>
            </w:r>
          </w:p>
        </w:tc>
        <w:tc>
          <w:tcPr>
            <w:tcW w:type="dxa" w:w="4703"/>
          </w:tcPr>
          <w:p>
            <w:pPr>
              <w:spacing w:before="160" w:after="0"/>
              <w:jc w:val="center"/>
            </w:pPr>
            <w:r/>
            <w:r>
              <w:rPr>
                <w:color w:val="888888"/>
                <w:sz w:val="18"/>
              </w:rPr>
              <w:t xml:space="preserve">Data: </w:t>
            </w:r>
            <w:r>
              <w:rPr>
                <w:i/>
                <w:color w:val="888888"/>
                <w:sz w:val="18"/>
              </w:rPr>
              <w:t>[DATA]</w:t>
            </w:r>
          </w:p>
        </w:tc>
      </w:tr>
    </w:tbl>
    <w:p>
      <w:r>
        <w:br w:type="page"/>
      </w:r>
    </w:p>
    <w:p>
      <w:pPr>
        <w:keepNext/>
        <w:spacing w:before="360" w:after="120"/>
        <w:pBdr>
          <w:bottom w:val="single" w:sz="4" w:color="888888"/>
        </w:pBdr>
      </w:pPr>
      <w:r>
        <w:rPr>
          <w:b/>
          <w:color w:val="222222"/>
          <w:sz w:val="26"/>
        </w:rPr>
        <w:t>Załącznik nr 1. Wykaz dalszych podmiotów przetwarzających</w:t>
      </w:r>
    </w:p>
    <w:p>
      <w:pPr>
        <w:spacing w:after="80"/>
      </w:pPr>
      <w:r>
        <w:t>Administrator wyraża ogólną zgodę (§6 ust. 1 Umowy) na korzystanie przez Procesora z usług następujących dalszych podmiotów przetwarzających:</w:t>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center"/>
            <w:shd w:fill="F2F2F2" w:val="clear"/>
          </w:tcPr>
          <w:p>
            <w:pPr>
              <w:spacing w:before="40" w:after="40"/>
            </w:pPr>
            <w:r/>
            <w:r>
              <w:rPr>
                <w:b/>
                <w:sz w:val="20"/>
              </w:rPr>
              <w:t>Lp.</w:t>
            </w:r>
          </w:p>
        </w:tc>
        <w:tc>
          <w:tcPr>
            <w:tcW w:type="dxa" w:w="1881"/>
            <w:vAlign w:val="center"/>
            <w:shd w:fill="F2F2F2" w:val="clear"/>
          </w:tcPr>
          <w:p>
            <w:pPr>
              <w:spacing w:before="40" w:after="40"/>
            </w:pPr>
            <w:r/>
            <w:r>
              <w:rPr>
                <w:b/>
                <w:sz w:val="20"/>
              </w:rPr>
              <w:t>Podmiot</w:t>
            </w:r>
          </w:p>
        </w:tc>
        <w:tc>
          <w:tcPr>
            <w:tcW w:type="dxa" w:w="1881"/>
            <w:vAlign w:val="center"/>
            <w:shd w:fill="F2F2F2" w:val="clear"/>
          </w:tcPr>
          <w:p>
            <w:pPr>
              <w:spacing w:before="40" w:after="40"/>
            </w:pPr>
            <w:r/>
            <w:r>
              <w:rPr>
                <w:b/>
                <w:sz w:val="20"/>
              </w:rPr>
              <w:t>Zakres przetwarzania</w:t>
            </w:r>
          </w:p>
        </w:tc>
        <w:tc>
          <w:tcPr>
            <w:tcW w:type="dxa" w:w="1881"/>
            <w:vAlign w:val="center"/>
            <w:shd w:fill="F2F2F2" w:val="clear"/>
          </w:tcPr>
          <w:p>
            <w:pPr>
              <w:spacing w:before="40" w:after="40"/>
            </w:pPr>
            <w:r/>
            <w:r>
              <w:rPr>
                <w:b/>
                <w:sz w:val="20"/>
              </w:rPr>
              <w:t>Miejsce przetwarzania</w:t>
            </w:r>
          </w:p>
        </w:tc>
        <w:tc>
          <w:tcPr>
            <w:tcW w:type="dxa" w:w="1881"/>
            <w:vAlign w:val="center"/>
            <w:shd w:fill="F2F2F2" w:val="clear"/>
          </w:tcPr>
          <w:p>
            <w:pPr>
              <w:spacing w:before="40" w:after="40"/>
            </w:pPr>
            <w:r/>
            <w:r>
              <w:rPr>
                <w:b/>
                <w:sz w:val="20"/>
              </w:rPr>
              <w:t>Podstawa przekazania danych poza EOG</w:t>
            </w:r>
          </w:p>
        </w:tc>
      </w:tr>
      <w:tr>
        <w:tc>
          <w:tcPr>
            <w:tcW w:type="dxa" w:w="1881"/>
            <w:vAlign w:val="center"/>
          </w:tcPr>
          <w:p>
            <w:pPr>
              <w:spacing w:before="40" w:after="40"/>
            </w:pPr>
            <w:r/>
            <w:r>
              <w:rPr>
                <w:sz w:val="20"/>
              </w:rPr>
              <w:t>1</w:t>
            </w:r>
          </w:p>
        </w:tc>
        <w:tc>
          <w:tcPr>
            <w:tcW w:type="dxa" w:w="1881"/>
            <w:vAlign w:val="center"/>
          </w:tcPr>
          <w:p>
            <w:pPr>
              <w:spacing w:before="40" w:after="40"/>
            </w:pPr>
            <w:r/>
            <w:r>
              <w:rPr>
                <w:sz w:val="20"/>
              </w:rPr>
              <w:t>Cloudflare, Inc. (USA)</w:t>
            </w:r>
          </w:p>
        </w:tc>
        <w:tc>
          <w:tcPr>
            <w:tcW w:type="dxa" w:w="1881"/>
            <w:vAlign w:val="center"/>
          </w:tcPr>
          <w:p>
            <w:pPr>
              <w:spacing w:before="40" w:after="40"/>
            </w:pPr>
            <w:r/>
            <w:r>
              <w:rPr>
                <w:sz w:val="20"/>
              </w:rPr>
              <w:t>Hosting Strony, sieć dostarczania treści, logi serwera</w:t>
            </w:r>
          </w:p>
        </w:tc>
        <w:tc>
          <w:tcPr>
            <w:tcW w:type="dxa" w:w="1881"/>
            <w:vAlign w:val="center"/>
          </w:tcPr>
          <w:p>
            <w:pPr>
              <w:spacing w:before="40" w:after="40"/>
            </w:pPr>
            <w:r/>
            <w:r>
              <w:rPr>
                <w:sz w:val="20"/>
              </w:rPr>
              <w:t>USA oraz sieć serwerów dostawcy</w:t>
            </w:r>
          </w:p>
        </w:tc>
        <w:tc>
          <w:tcPr>
            <w:tcW w:type="dxa" w:w="1881"/>
            <w:vAlign w:val="center"/>
          </w:tcPr>
          <w:p>
            <w:pPr>
              <w:spacing w:before="40" w:after="40"/>
            </w:pPr>
            <w:r/>
            <w:r>
              <w:rPr>
                <w:sz w:val="20"/>
              </w:rPr>
              <w:t>EU-U.S. Data Privacy Framework oraz standardowe klauzule umowne</w:t>
            </w:r>
          </w:p>
        </w:tc>
      </w:tr>
      <w:tr>
        <w:tc>
          <w:tcPr>
            <w:tcW w:type="dxa" w:w="1881"/>
            <w:vAlign w:val="center"/>
          </w:tcPr>
          <w:p>
            <w:pPr>
              <w:spacing w:before="40" w:after="40"/>
            </w:pPr>
            <w:r/>
            <w:r>
              <w:rPr>
                <w:sz w:val="20"/>
              </w:rPr>
              <w:t>2</w:t>
            </w:r>
          </w:p>
        </w:tc>
        <w:tc>
          <w:tcPr>
            <w:tcW w:type="dxa" w:w="1881"/>
            <w:vAlign w:val="center"/>
          </w:tcPr>
          <w:p>
            <w:pPr>
              <w:spacing w:before="40" w:after="40"/>
            </w:pPr>
            <w:r/>
            <w:r>
              <w:rPr>
                <w:sz w:val="20"/>
              </w:rPr>
              <w:t>Railway Corporation (USA)</w:t>
            </w:r>
          </w:p>
        </w:tc>
        <w:tc>
          <w:tcPr>
            <w:tcW w:type="dxa" w:w="1881"/>
            <w:vAlign w:val="center"/>
          </w:tcPr>
          <w:p>
            <w:pPr>
              <w:spacing w:before="40" w:after="40"/>
            </w:pPr>
            <w:r/>
            <w:r>
              <w:rPr>
                <w:sz w:val="20"/>
              </w:rPr>
              <w:t>Serwer automatyzacji obsługującej formularz zapytania o termin</w:t>
            </w:r>
          </w:p>
        </w:tc>
        <w:tc>
          <w:tcPr>
            <w:tcW w:type="dxa" w:w="1881"/>
            <w:vAlign w:val="center"/>
          </w:tcPr>
          <w:p>
            <w:pPr>
              <w:spacing w:before="40" w:after="40"/>
            </w:pPr>
            <w:r/>
            <w:r>
              <w:rPr>
                <w:sz w:val="20"/>
              </w:rPr>
              <w:t>Usługa uruchomiona w regionie UE (Amsterdam)</w:t>
            </w:r>
          </w:p>
        </w:tc>
        <w:tc>
          <w:tcPr>
            <w:tcW w:type="dxa" w:w="1881"/>
            <w:vAlign w:val="center"/>
          </w:tcPr>
          <w:p>
            <w:pPr>
              <w:spacing w:before="40" w:after="40"/>
            </w:pPr>
            <w:r/>
            <w:r>
              <w:rPr>
                <w:sz w:val="20"/>
              </w:rPr>
              <w:t>EU-U.S. Data Privacy Framework oraz standardowe klauzule umowne</w:t>
            </w:r>
          </w:p>
        </w:tc>
      </w:tr>
      <w:tr>
        <w:tc>
          <w:tcPr>
            <w:tcW w:type="dxa" w:w="1881"/>
            <w:vAlign w:val="center"/>
          </w:tcPr>
          <w:p>
            <w:pPr>
              <w:spacing w:before="40" w:after="40"/>
            </w:pPr>
            <w:r/>
            <w:r>
              <w:rPr>
                <w:sz w:val="20"/>
              </w:rPr>
              <w:t>3</w:t>
            </w:r>
          </w:p>
        </w:tc>
        <w:tc>
          <w:tcPr>
            <w:tcW w:type="dxa" w:w="1881"/>
            <w:vAlign w:val="center"/>
          </w:tcPr>
          <w:p>
            <w:pPr>
              <w:spacing w:before="40" w:after="40"/>
            </w:pPr>
            <w:r/>
            <w:r>
              <w:rPr>
                <w:sz w:val="20"/>
              </w:rPr>
              <w:t>Resend, Inc. (USA)</w:t>
            </w:r>
          </w:p>
        </w:tc>
        <w:tc>
          <w:tcPr>
            <w:tcW w:type="dxa" w:w="1881"/>
            <w:vAlign w:val="center"/>
          </w:tcPr>
          <w:p>
            <w:pPr>
              <w:spacing w:before="40" w:after="40"/>
            </w:pPr>
            <w:r/>
            <w:r>
              <w:rPr>
                <w:sz w:val="20"/>
              </w:rPr>
              <w:t>Wysyłka wiadomości e-mail z formularza; adres odbiorcy i treść wiadomości przechowywane do 30 dni</w:t>
            </w:r>
          </w:p>
        </w:tc>
        <w:tc>
          <w:tcPr>
            <w:tcW w:type="dxa" w:w="1881"/>
            <w:vAlign w:val="center"/>
          </w:tcPr>
          <w:p>
            <w:pPr>
              <w:spacing w:before="40" w:after="40"/>
            </w:pPr>
            <w:r/>
            <w:r>
              <w:rPr>
                <w:sz w:val="20"/>
              </w:rPr>
              <w:t>USA</w:t>
            </w:r>
          </w:p>
        </w:tc>
        <w:tc>
          <w:tcPr>
            <w:tcW w:type="dxa" w:w="1881"/>
            <w:vAlign w:val="center"/>
          </w:tcPr>
          <w:p>
            <w:pPr>
              <w:spacing w:before="40" w:after="40"/>
            </w:pPr>
            <w:r/>
            <w:r>
              <w:rPr>
                <w:sz w:val="20"/>
              </w:rPr>
              <w:t>EU-U.S. Data Privacy Framework oraz standardowe klauzule umowne</w:t>
            </w:r>
          </w:p>
        </w:tc>
      </w:tr>
      <w:tr>
        <w:tc>
          <w:tcPr>
            <w:tcW w:type="dxa" w:w="1881"/>
            <w:vAlign w:val="center"/>
          </w:tcPr>
          <w:p>
            <w:pPr>
              <w:spacing w:before="40" w:after="40"/>
            </w:pPr>
            <w:r/>
            <w:r>
              <w:rPr>
                <w:sz w:val="20"/>
              </w:rPr>
              <w:t>4</w:t>
            </w:r>
          </w:p>
        </w:tc>
        <w:tc>
          <w:tcPr>
            <w:tcW w:type="dxa" w:w="1881"/>
            <w:vAlign w:val="center"/>
          </w:tcPr>
          <w:p>
            <w:pPr>
              <w:spacing w:before="40" w:after="40"/>
            </w:pPr>
            <w:r/>
            <w:r>
              <w:rPr>
                <w:sz w:val="20"/>
              </w:rPr>
              <w:t>Microsoft Ireland Operations Limited (Irlandia)</w:t>
            </w:r>
          </w:p>
        </w:tc>
        <w:tc>
          <w:tcPr>
            <w:tcW w:type="dxa" w:w="1881"/>
            <w:vAlign w:val="center"/>
          </w:tcPr>
          <w:p>
            <w:pPr>
              <w:spacing w:before="40" w:after="40"/>
            </w:pPr>
            <w:r/>
            <w:r>
              <w:rPr>
                <w:sz w:val="20"/>
              </w:rPr>
              <w:t>Pakiet biurowy Microsoft 365 Procesora (robocze kopie dokumentów)</w:t>
            </w:r>
          </w:p>
        </w:tc>
        <w:tc>
          <w:tcPr>
            <w:tcW w:type="dxa" w:w="1881"/>
            <w:vAlign w:val="center"/>
          </w:tcPr>
          <w:p>
            <w:pPr>
              <w:spacing w:before="40" w:after="40"/>
            </w:pPr>
            <w:r/>
            <w:r>
              <w:rPr>
                <w:sz w:val="20"/>
              </w:rPr>
              <w:t>EOG</w:t>
            </w:r>
          </w:p>
        </w:tc>
        <w:tc>
          <w:tcPr>
            <w:tcW w:type="dxa" w:w="1881"/>
            <w:vAlign w:val="center"/>
          </w:tcPr>
          <w:p>
            <w:pPr>
              <w:spacing w:before="40" w:after="40"/>
            </w:pPr>
            <w:r/>
            <w:r>
              <w:rPr>
                <w:sz w:val="20"/>
              </w:rPr>
              <w:t>Podmiot z siedzibą w EOG</w:t>
            </w:r>
          </w:p>
        </w:tc>
      </w:tr>
      <w:tr>
        <w:tc>
          <w:tcPr>
            <w:tcW w:type="dxa" w:w="1881"/>
            <w:vAlign w:val="center"/>
          </w:tcPr>
          <w:p>
            <w:pPr>
              <w:spacing w:before="40" w:after="40"/>
            </w:pPr>
            <w:r/>
            <w:r>
              <w:rPr>
                <w:sz w:val="20"/>
              </w:rPr>
              <w:t>5</w:t>
            </w:r>
          </w:p>
        </w:tc>
        <w:tc>
          <w:tcPr>
            <w:tcW w:type="dxa" w:w="1881"/>
            <w:vAlign w:val="center"/>
          </w:tcPr>
          <w:p>
            <w:pPr>
              <w:spacing w:before="40" w:after="40"/>
            </w:pPr>
            <w:r/>
            <w:r>
              <w:rPr>
                <w:sz w:val="20"/>
              </w:rPr>
              <w:t>Anthropic PBC (USA)</w:t>
            </w:r>
          </w:p>
        </w:tc>
        <w:tc>
          <w:tcPr>
            <w:tcW w:type="dxa" w:w="1881"/>
            <w:vAlign w:val="center"/>
          </w:tcPr>
          <w:p>
            <w:pPr>
              <w:spacing w:before="40" w:after="40"/>
            </w:pPr>
            <w:r/>
            <w:r>
              <w:rPr>
                <w:sz w:val="20"/>
              </w:rPr>
              <w:t>Narzędzia programistyczne używane przy utrzymaniu i diagnostyce Strony (dostęp do danych incydentalny); dane nie służą do trenowania modeli</w:t>
            </w:r>
          </w:p>
        </w:tc>
        <w:tc>
          <w:tcPr>
            <w:tcW w:type="dxa" w:w="1881"/>
            <w:vAlign w:val="center"/>
          </w:tcPr>
          <w:p>
            <w:pPr>
              <w:spacing w:before="40" w:after="40"/>
            </w:pPr>
            <w:r/>
            <w:r>
              <w:rPr>
                <w:sz w:val="20"/>
              </w:rPr>
              <w:t>USA</w:t>
            </w:r>
          </w:p>
        </w:tc>
        <w:tc>
          <w:tcPr>
            <w:tcW w:type="dxa" w:w="1881"/>
            <w:vAlign w:val="center"/>
          </w:tcPr>
          <w:p>
            <w:pPr>
              <w:spacing w:before="40" w:after="40"/>
            </w:pPr>
            <w:r/>
            <w:r>
              <w:rPr>
                <w:sz w:val="20"/>
              </w:rPr>
              <w:t>Standardowe klauzule umowne w ramach umowy przetwarzania danych dostawcy</w:t>
            </w:r>
          </w:p>
        </w:tc>
      </w:tr>
    </w:tbl>
    <w:p/>
    <w:p>
      <w:pPr>
        <w:spacing w:after="80"/>
      </w:pPr>
      <w:r>
        <w:t>Dostawca mapy Google wyświetlanej na Stronie przetwarza dane użytkowników jako odrębny administrator i nie jest dalszym podmiotem przetwarzającym Procesora (§6 ust. 6 Umowy).</w:t>
      </w:r>
    </w:p>
    <w:p>
      <w:pPr>
        <w:keepNext/>
        <w:spacing w:before="360" w:after="120"/>
        <w:pBdr>
          <w:bottom w:val="single" w:sz="4" w:color="888888"/>
        </w:pBdr>
      </w:pPr>
      <w:r>
        <w:rPr>
          <w:b/>
          <w:color w:val="222222"/>
          <w:sz w:val="26"/>
        </w:rPr>
        <w:t>Załącznik nr 2. Szczegółowy opis kategorii osób i danych oraz środków bezpieczeństwa</w:t>
      </w:r>
    </w:p>
    <w:p>
      <w:pPr>
        <w:keepNext/>
        <w:spacing w:before="200" w:after="60"/>
      </w:pPr>
      <w:r>
        <w:rPr>
          <w:b/>
          <w:color w:val="222222"/>
          <w:sz w:val="22"/>
        </w:rPr>
        <w:t>A. Kategorie osób, których dane dotyczą</w:t>
      </w:r>
    </w:p>
    <w:p>
      <w:pPr>
        <w:spacing w:after="80"/>
        <w:ind w:left="283" w:hanging="283"/>
      </w:pPr>
      <w:r>
        <w:t>1.  Goście i osoby zainteresowane pobytem w obiekcie Administratora, które wysyłają zapytanie o termin przez formularz na Stronie.</w:t>
      </w:r>
    </w:p>
    <w:p>
      <w:pPr>
        <w:spacing w:after="80"/>
        <w:ind w:left="283" w:hanging="283"/>
      </w:pPr>
      <w:r>
        <w:t>2.  Użytkownicy Strony, w zakresie danych zapisywanych w logach serwera.</w:t>
      </w:r>
    </w:p>
    <w:p>
      <w:pPr>
        <w:keepNext/>
        <w:spacing w:before="200" w:after="60"/>
      </w:pPr>
      <w:r>
        <w:rPr>
          <w:b/>
          <w:color w:val="222222"/>
          <w:sz w:val="22"/>
        </w:rPr>
        <w:t>B. Rodzaje powierzonych danych osobowych</w:t>
      </w:r>
    </w:p>
    <w:tbl>
      <w:tblPr>
        <w:tblStyle w:val="TableGrid"/>
        <w:tblW w:type="auto" w:w="0"/>
        <w:tblLayout w:type="autofit"/>
        <w:tblLook w:firstColumn="1" w:firstRow="1" w:lastColumn="0" w:lastRow="0" w:noHBand="0" w:noVBand="1" w:val="04A0"/>
      </w:tblPr>
      <w:tblGrid>
        <w:gridCol w:w="4703"/>
        <w:gridCol w:w="4703"/>
      </w:tblGrid>
      <w:tr>
        <w:tc>
          <w:tcPr>
            <w:tcW w:type="dxa" w:w="4703"/>
            <w:vAlign w:val="center"/>
            <w:shd w:fill="F2F2F2" w:val="clear"/>
          </w:tcPr>
          <w:p>
            <w:pPr>
              <w:spacing w:before="40" w:after="40"/>
            </w:pPr>
            <w:r/>
            <w:r>
              <w:rPr>
                <w:b/>
                <w:sz w:val="20"/>
              </w:rPr>
              <w:t>Dane z formularza</w:t>
            </w:r>
          </w:p>
        </w:tc>
        <w:tc>
          <w:tcPr>
            <w:tcW w:type="dxa" w:w="4703"/>
            <w:vAlign w:val="center"/>
            <w:shd w:fill="F2F2F2" w:val="clear"/>
          </w:tcPr>
          <w:p>
            <w:pPr>
              <w:spacing w:before="40" w:after="40"/>
            </w:pPr>
            <w:r/>
            <w:r>
              <w:rPr>
                <w:b/>
                <w:sz w:val="20"/>
              </w:rPr>
              <w:t>Dane techniczne</w:t>
            </w:r>
          </w:p>
        </w:tc>
      </w:tr>
      <w:tr>
        <w:tc>
          <w:tcPr>
            <w:tcW w:type="dxa" w:w="4703"/>
            <w:vAlign w:val="center"/>
          </w:tcPr>
          <w:p>
            <w:pPr>
              <w:spacing w:before="40" w:after="40"/>
            </w:pPr>
            <w:r/>
            <w:r>
              <w:rPr>
                <w:sz w:val="20"/>
              </w:rPr>
              <w:t>Imię i nazwisko</w:t>
            </w:r>
          </w:p>
        </w:tc>
        <w:tc>
          <w:tcPr>
            <w:tcW w:type="dxa" w:w="4703"/>
            <w:vAlign w:val="center"/>
          </w:tcPr>
          <w:p>
            <w:pPr>
              <w:spacing w:before="40" w:after="40"/>
            </w:pPr>
            <w:r/>
            <w:r>
              <w:rPr>
                <w:sz w:val="20"/>
              </w:rPr>
              <w:t>Adres IP</w:t>
            </w:r>
          </w:p>
        </w:tc>
      </w:tr>
      <w:tr>
        <w:tc>
          <w:tcPr>
            <w:tcW w:type="dxa" w:w="4703"/>
            <w:vAlign w:val="center"/>
          </w:tcPr>
          <w:p>
            <w:pPr>
              <w:spacing w:before="40" w:after="40"/>
            </w:pPr>
            <w:r/>
            <w:r>
              <w:rPr>
                <w:sz w:val="20"/>
              </w:rPr>
              <w:t>Adres e-mail</w:t>
            </w:r>
          </w:p>
        </w:tc>
        <w:tc>
          <w:tcPr>
            <w:tcW w:type="dxa" w:w="4703"/>
            <w:vAlign w:val="center"/>
          </w:tcPr>
          <w:p>
            <w:pPr>
              <w:spacing w:before="40" w:after="40"/>
            </w:pPr>
            <w:r/>
            <w:r>
              <w:rPr>
                <w:sz w:val="20"/>
              </w:rPr>
              <w:t>Typ przeglądarki i system operacyjny</w:t>
            </w:r>
          </w:p>
        </w:tc>
      </w:tr>
      <w:tr>
        <w:tc>
          <w:tcPr>
            <w:tcW w:type="dxa" w:w="4703"/>
            <w:vAlign w:val="center"/>
          </w:tcPr>
          <w:p>
            <w:pPr>
              <w:spacing w:before="40" w:after="40"/>
            </w:pPr>
            <w:r/>
            <w:r>
              <w:rPr>
                <w:sz w:val="20"/>
              </w:rPr>
              <w:t>Numer telefonu</w:t>
            </w:r>
          </w:p>
        </w:tc>
        <w:tc>
          <w:tcPr>
            <w:tcW w:type="dxa" w:w="4703"/>
            <w:vAlign w:val="center"/>
          </w:tcPr>
          <w:p>
            <w:pPr>
              <w:spacing w:before="40" w:after="40"/>
            </w:pPr>
            <w:r/>
            <w:r>
              <w:rPr>
                <w:sz w:val="20"/>
              </w:rPr>
              <w:t>Data i godzina wizyty</w:t>
            </w:r>
          </w:p>
        </w:tc>
      </w:tr>
      <w:tr>
        <w:tc>
          <w:tcPr>
            <w:tcW w:type="dxa" w:w="4703"/>
            <w:vAlign w:val="center"/>
          </w:tcPr>
          <w:p>
            <w:pPr>
              <w:spacing w:before="40" w:after="40"/>
            </w:pPr>
            <w:r/>
            <w:r>
              <w:rPr>
                <w:sz w:val="20"/>
              </w:rPr>
              <w:t>Daty i szczegóły planowanego pobytu (liczba osób, wybrana jednostka)</w:t>
            </w:r>
          </w:p>
        </w:tc>
        <w:tc>
          <w:tcPr>
            <w:tcW w:type="dxa" w:w="4703"/>
            <w:vAlign w:val="center"/>
          </w:tcPr>
          <w:p>
            <w:pPr>
              <w:spacing w:before="40" w:after="40"/>
            </w:pPr>
            <w:r/>
            <w:r>
              <w:rPr>
                <w:sz w:val="20"/>
              </w:rPr>
              <w:t>Adres wyświetlonej podstrony</w:t>
            </w:r>
          </w:p>
        </w:tc>
      </w:tr>
      <w:tr>
        <w:tc>
          <w:tcPr>
            <w:tcW w:type="dxa" w:w="4703"/>
            <w:vAlign w:val="center"/>
          </w:tcPr>
          <w:p>
            <w:pPr>
              <w:spacing w:before="40" w:after="40"/>
            </w:pPr>
            <w:r/>
            <w:r>
              <w:rPr>
                <w:sz w:val="20"/>
              </w:rPr>
              <w:t>Treść wiadomości</w:t>
            </w:r>
          </w:p>
        </w:tc>
        <w:tc>
          <w:tcPr>
            <w:tcW w:type="dxa" w:w="4703"/>
            <w:vAlign w:val="center"/>
          </w:tcPr>
          <w:p>
            <w:pPr>
              <w:spacing w:before="40" w:after="40"/>
            </w:pPr>
            <w:r/>
            <w:r>
              <w:rPr>
                <w:sz w:val="20"/>
              </w:rPr>
              <w:t>Pozostałe dane techniczne z logów serwera</w:t>
            </w:r>
          </w:p>
        </w:tc>
      </w:tr>
    </w:tbl>
    <w:p/>
    <w:p>
      <w:pPr>
        <w:keepNext/>
        <w:spacing w:before="200" w:after="60"/>
      </w:pPr>
      <w:r>
        <w:rPr>
          <w:b/>
          <w:color w:val="222222"/>
          <w:sz w:val="22"/>
        </w:rPr>
        <w:t>C. Dane szczególnych kategorii</w:t>
      </w:r>
    </w:p>
    <w:p>
      <w:pPr>
        <w:spacing w:after="80"/>
      </w:pPr>
      <w:r>
        <w:t>Nie są powierzane. Formularz nie zawiera pól przeznaczonych na dane, o których mowa w art. 9 i 10 RODO. Postępowanie z takimi danymi podanymi z inicjatywy osoby wysyłającej zapytanie określa §3 ust. 3 Umowy.</w:t>
      </w:r>
    </w:p>
    <w:p>
      <w:pPr>
        <w:keepNext/>
        <w:spacing w:before="200" w:after="60"/>
      </w:pPr>
      <w:r>
        <w:rPr>
          <w:b/>
          <w:color w:val="222222"/>
          <w:sz w:val="22"/>
        </w:rPr>
        <w:t>D. Charakter i cel przetwarzania</w:t>
      </w:r>
    </w:p>
    <w:p>
      <w:pPr>
        <w:spacing w:after="80"/>
      </w:pPr>
      <w:r>
        <w:t>Przyjęcie danych z formularza, przesłanie wiadomości e-mail do Administratora i potwierdzenia do osoby wysyłającej zapytanie, krótkotrwałe przechowywanie techniczne (do 30 dni) oraz usuwanie danych, w celu hostingu Strony i obsługi formularza zapytania o termin (§1 i §2 Umowy). Procesor nie prowadzi bazy zapytań.</w:t>
      </w:r>
    </w:p>
    <w:p>
      <w:pPr>
        <w:keepNext/>
        <w:spacing w:before="200" w:after="60"/>
      </w:pPr>
      <w:r>
        <w:rPr>
          <w:b/>
          <w:color w:val="222222"/>
          <w:sz w:val="22"/>
        </w:rPr>
        <w:t>E. Środki techniczne i organizacyjne (art. 32 RODO)</w:t>
      </w:r>
    </w:p>
    <w:p>
      <w:pPr>
        <w:spacing w:after="80"/>
      </w:pPr>
      <w:r>
        <w:t>Środki techniczne:</w:t>
      </w:r>
    </w:p>
    <w:p>
      <w:pPr>
        <w:spacing w:after="60"/>
        <w:ind w:left="283" w:hanging="283"/>
      </w:pPr>
      <w:r>
        <w:rPr>
          <w:b/>
          <w:color w:val="222222"/>
        </w:rPr>
        <w:t xml:space="preserve">— </w:t>
      </w:r>
      <w:r>
        <w:t>szyfrowanie transmisji danych protokołem TLS (HTTPS) na Stronie, w formularzu i w połączeniach z usługami dalszych podmiotów przetwarzających,</w:t>
      </w:r>
    </w:p>
    <w:p>
      <w:pPr>
        <w:spacing w:after="60"/>
        <w:ind w:left="283" w:hanging="283"/>
      </w:pPr>
      <w:r>
        <w:rPr>
          <w:b/>
          <w:color w:val="222222"/>
        </w:rPr>
        <w:t xml:space="preserve">— </w:t>
      </w:r>
      <w:r>
        <w:t>uwierzytelnianie dwuskładnikowe na kontach Procesora u dostawców usług wymienionych w Załączniku nr 1, jeżeli dostawca udostępnia taką funkcję,</w:t>
      </w:r>
    </w:p>
    <w:p>
      <w:pPr>
        <w:spacing w:after="60"/>
        <w:ind w:left="283" w:hanging="283"/>
      </w:pPr>
      <w:r>
        <w:rPr>
          <w:b/>
          <w:color w:val="222222"/>
        </w:rPr>
        <w:t xml:space="preserve">— </w:t>
      </w:r>
      <w:r>
        <w:t>zasada minimalnego dostępu do danych i systemów,</w:t>
      </w:r>
    </w:p>
    <w:p>
      <w:pPr>
        <w:spacing w:after="60"/>
        <w:ind w:left="283" w:hanging="283"/>
      </w:pPr>
      <w:r>
        <w:rPr>
          <w:b/>
          <w:color w:val="222222"/>
        </w:rPr>
        <w:t xml:space="preserve">— </w:t>
      </w:r>
      <w:r>
        <w:t>kopie zapasowe konfiguracji Strony i automatyzacji, które nie zawierają danych z formularza,</w:t>
      </w:r>
    </w:p>
    <w:p>
      <w:pPr>
        <w:spacing w:after="60"/>
        <w:ind w:left="283" w:hanging="283"/>
      </w:pPr>
      <w:r>
        <w:rPr>
          <w:b/>
          <w:color w:val="222222"/>
        </w:rPr>
        <w:t xml:space="preserve">— </w:t>
      </w:r>
      <w:r>
        <w:t>usuwanie kopii technicznych danych (logów serwera, historii wysyłki wiadomości) najpóźniej po 30 dniach,</w:t>
      </w:r>
    </w:p>
    <w:p>
      <w:pPr>
        <w:spacing w:after="60"/>
        <w:ind w:left="283" w:hanging="283"/>
      </w:pPr>
      <w:r>
        <w:rPr>
          <w:b/>
          <w:color w:val="222222"/>
        </w:rPr>
        <w:t xml:space="preserve">— </w:t>
      </w:r>
      <w:r>
        <w:t>bieżące aktualizacje oprogramowania i zależności w zakresie kontrolowanym przez Procesora,</w:t>
      </w:r>
    </w:p>
    <w:p>
      <w:pPr>
        <w:spacing w:after="60"/>
        <w:ind w:left="283" w:hanging="283"/>
      </w:pPr>
      <w:r>
        <w:rPr>
          <w:b/>
          <w:color w:val="222222"/>
        </w:rPr>
        <w:t xml:space="preserve">— </w:t>
      </w:r>
      <w:r>
        <w:t>przetwarzanie w EOG, jeżeli jest to możliwe, a przekazywanie danych poza EOG wyłącznie na podstawach wskazanych w Załączniku nr 1.</w:t>
      </w:r>
    </w:p>
    <w:p>
      <w:pPr>
        <w:spacing w:after="80"/>
      </w:pPr>
      <w:r>
        <w:t>Środki organizacyjne:</w:t>
      </w:r>
    </w:p>
    <w:p>
      <w:pPr>
        <w:spacing w:after="60"/>
        <w:ind w:left="283" w:hanging="283"/>
      </w:pPr>
      <w:r>
        <w:rPr>
          <w:b/>
          <w:color w:val="222222"/>
        </w:rPr>
        <w:t xml:space="preserve">— </w:t>
      </w:r>
      <w:r>
        <w:t>zobowiązanie osób upoważnionych do przetwarzania do zachowania poufności, także po zakończeniu współpracy,</w:t>
      </w:r>
    </w:p>
    <w:p>
      <w:pPr>
        <w:spacing w:after="60"/>
        <w:ind w:left="283" w:hanging="283"/>
      </w:pPr>
      <w:r>
        <w:rPr>
          <w:b/>
          <w:color w:val="222222"/>
        </w:rPr>
        <w:t xml:space="preserve">— </w:t>
      </w:r>
      <w:r>
        <w:t>dopuszczanie do danych wyłącznie osób, którym dostęp jest niezbędny,</w:t>
      </w:r>
    </w:p>
    <w:p>
      <w:pPr>
        <w:spacing w:after="60"/>
        <w:ind w:left="283" w:hanging="283"/>
      </w:pPr>
      <w:r>
        <w:rPr>
          <w:b/>
          <w:color w:val="222222"/>
        </w:rPr>
        <w:t xml:space="preserve">— </w:t>
      </w:r>
      <w:r>
        <w:t>umowy z dalszymi podmiotami przetwarzającymi nakładające obowiązki ochrony danych odpowiadające Umowie,</w:t>
      </w:r>
    </w:p>
    <w:p>
      <w:pPr>
        <w:spacing w:after="60"/>
        <w:ind w:left="283" w:hanging="283"/>
      </w:pPr>
      <w:r>
        <w:rPr>
          <w:b/>
          <w:color w:val="222222"/>
        </w:rPr>
        <w:t xml:space="preserve">— </w:t>
      </w:r>
      <w:r>
        <w:t>procedura zgłaszania naruszeń ochrony danych Administratorowi w terminie 24 godzin od ich wykrycia,</w:t>
      </w:r>
    </w:p>
    <w:p>
      <w:pPr>
        <w:spacing w:after="60"/>
        <w:ind w:left="283" w:hanging="283"/>
      </w:pPr>
      <w:r>
        <w:rPr>
          <w:b/>
          <w:color w:val="222222"/>
        </w:rPr>
        <w:t xml:space="preserve">— </w:t>
      </w:r>
      <w:r>
        <w:t>przekazywanie Administratorowi żądań osób, których dane dotyczą, w terminie 3 dni roboczych,</w:t>
      </w:r>
    </w:p>
    <w:p>
      <w:pPr>
        <w:spacing w:after="60"/>
        <w:ind w:left="283" w:hanging="283"/>
      </w:pPr>
      <w:r>
        <w:rPr>
          <w:b/>
          <w:color w:val="222222"/>
        </w:rPr>
        <w:t xml:space="preserve">— </w:t>
      </w:r>
      <w:r>
        <w:t>procedura usunięcia lub zwrotu danych po zakończeniu przetwarzania,</w:t>
      </w:r>
    </w:p>
    <w:p>
      <w:pPr>
        <w:spacing w:after="60"/>
        <w:ind w:left="283" w:hanging="283"/>
      </w:pPr>
      <w:r>
        <w:rPr>
          <w:b/>
          <w:color w:val="222222"/>
        </w:rPr>
        <w:t xml:space="preserve">— </w:t>
      </w:r>
      <w:r>
        <w:t>okresowa ocena skuteczności stosowanych środków bezpieczeństwa.</w:t>
      </w:r>
    </w:p>
    <w:sectPr w:rsidR="00FC693F" w:rsidRPr="0006063C" w:rsidSect="00034616">
      <w:footerReference w:type="default" r:id="rId9"/>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end"/>
    </w:r>
    <w:r>
      <w:rPr>
        <w:color w:val="888888"/>
        <w:sz w:val="18"/>
      </w:rPr>
      <w:t xml:space="preserve"> / </w:t>
    </w:r>
    <w:r>
      <w:rPr>
        <w:color w:val="888888"/>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