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4"/>
          <w:color w:val="000000"/>
        </w:rPr>
        <w:t xml:space="preserve">SVF XML 自動再現ツール</w:t>
      </w:r>
    </w:p>
    <w:p>
      <w:pPr>
        <w:pStyle w:val="Title"/>
        <w:keepNext/>
        <w:keepLines/>
        <w:spacing w:before="0" w:after="100" w:line="640" w:lineRule="exact"/>
        <w:widowControl/>
      </w:pPr>
      <w:r>
        <w:rPr>
          <w:rFonts w:ascii="Helvetica Neue" w:hAnsi="Helvetica Neue" w:eastAsia="Hiragino Sans" w:cs="Helvetica Neue"/>
          <w:sz w:val="46"/>
          <w:color w:val="000000"/>
          <w:b/>
        </w:rPr>
        <w:t xml:space="preserve">基本定義書</w:t>
      </w:r>
    </w:p>
    <w:p>
      <w:pPr>
        <w:pStyle w:val="Subtitle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4"/>
          <w:color w:val="000000"/>
        </w:rPr>
        <w:t xml:space="preserve">目的 対応範囲 入出力 受入条件</w:t>
      </w:r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版 0.3　改訂日 2026年9月10日　実装仕様</w:t>
      </w:r>
    </w:p>
    <w:p>
      <w:pPr>
        <w:pStyle w:val="Heading1"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1 目的と実装方針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画像・PDF・既存XMLから、SVFX-Designerで編集できるXML様式を作成する。対象選択と備考で修正し、PythonがLLM候補を検査して確定する。明細は件数固定にせず、サブフォーム・レコードの設定と入力データに従ってSVFで出力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本書は達成すべき要件を定める。データ型・優先順位・処理順序は基本設計書0.3、実装順序と完了条件は実装TODO0.3を正本とする。既存ファイル名を継続するが、本文の版は3文書とも0.3とする。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表示行数を利用する範囲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表示行数displayLineCountは利用する。元XMLの値を読み取り、JSONに保持し、生成XMLへ出力する。Designerおよび本ツールの設計参考表示で、指定した行数の配置を確認する。入力データ件数Nと、領域容量Cとは別の値として管理する。公開資料では事前確認の設定として説明されている。［S1］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実データの投入件数を表示行数で打ち切ったり、不足分を自動で空データにしたりしない。表示行数と実出力の関係は対象版でAT15を実施する。表示行数を無視する実装も、すべての実行回数をこの値で決める実装も採用しない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初期実装の範囲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横書き日本語・英数字、固定文字、文字／数値Field、矩形、実線／点線、黒帯白文字、固定高のレコードを実装する。縦／横展開、リンク領域、複数Recordを格納できる構造を最初から持ち、試験を通した設定の組合せを生成対象に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既存XMLの可変高・複雑な合計・バーコード等は元設定を保全する。未対応設定を変更する指示には対応不可の箇所を示す。画像からの新規生成は対応済み部品の範囲で行う。汎用性は、入力件数や帳票名による分岐を作らず、設定と部品を追加できることで確保する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構成と運用の境界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単一のPythonアプリとファイル保存で開始する。GUI・CLIは同じコアを使い、SVFのページ処理を独自実装しない。日常出力は確定XMLへ業務データを流す処理であり、OCR・LLMを再実行しない。Oracleの抽出・業務計算、印刷配送・FAXは既存側の責任とする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2 機能要件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0"/>
        <w:gridCol w:w="2300"/>
        <w:gridCol w:w="6038"/>
      </w:tblGrid>
      <w:tr>
        <w:trPr>
          <w:cantSplit/>
          <w:tblHeader/>
        </w:trPr>
        <w:tc>
          <w:tcPr>
            <w:tcW w:w="13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ID</w:t>
            </w:r>
          </w:p>
        </w:tc>
        <w:tc>
          <w:tcPr>
            <w:tcW w:w="23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機能</w:t>
            </w:r>
          </w:p>
        </w:tc>
        <w:tc>
          <w:tcPr>
            <w:tcW w:w="60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必須の振る舞い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FR01</w:t>
            </w:r>
          </w:p>
        </w:tc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入力と尺度</w:t>
            </w:r>
          </w:p>
        </w:tc>
        <w:tc>
          <w:tcPr>
            <w:tcW w:w="60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画像・PDF・既存XML・本版JSONを読み、物理寸法と座標系を確定する。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FR02</w:t>
            </w:r>
          </w:p>
        </w:tc>
        <w:tc>
          <w:tcPr>
            <w:tcW w:w="2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文字と図形</w:t>
            </w:r>
          </w:p>
        </w:tc>
        <w:tc>
          <w:tcPr>
            <w:tcW w:w="60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実文字・罫線・図形を抽出し、原文と確定内容を分ける。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FR03</w:t>
            </w:r>
          </w:p>
        </w:tc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共通データ</w:t>
            </w:r>
          </w:p>
        </w:tc>
        <w:tc>
          <w:tcPr>
            <w:tcW w:w="60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原本・元XML・対象ID・備考・適用差分・版を保持する。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FR04</w:t>
            </w:r>
          </w:p>
        </w:tc>
        <w:tc>
          <w:tcPr>
            <w:tcW w:w="2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項目と構造</w:t>
            </w:r>
          </w:p>
        </w:tc>
        <w:tc>
          <w:tcPr>
            <w:tcW w:w="60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固定／可変、型・桁数・業務対応、所属と出力条件を定義する。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FR05</w:t>
            </w:r>
          </w:p>
        </w:tc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配置</w:t>
            </w:r>
          </w:p>
        </w:tc>
        <w:tc>
          <w:tcPr>
            <w:tcW w:w="60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忠実再現を既定とし、備考で指定した対象だけ配置を変える。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FR06</w:t>
            </w:r>
          </w:p>
        </w:tc>
        <w:tc>
          <w:tcPr>
            <w:tcW w:w="2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XML生成</w:t>
            </w:r>
          </w:p>
        </w:tc>
        <w:tc>
          <w:tcPr>
            <w:tcW w:w="60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記法例を参照して生成し、既存属性・式・未知ノードを保全する。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FR07</w:t>
            </w:r>
          </w:p>
        </w:tc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明細と枠</w:t>
            </w:r>
          </w:p>
        </w:tc>
        <w:tc>
          <w:tcPr>
            <w:tcW w:w="60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サブフォーム・レコード設定から構成し、表示行数も保持・設定・利用する。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FR08</w:t>
            </w:r>
          </w:p>
        </w:tc>
        <w:tc>
          <w:tcPr>
            <w:tcW w:w="2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検証</w:t>
            </w:r>
          </w:p>
        </w:tc>
        <w:tc>
          <w:tcPr>
            <w:tcW w:w="60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構造・参考表示・実出力・Designer受入を独立した結果で残す。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FR09</w:t>
            </w:r>
          </w:p>
        </w:tc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試験データ</w:t>
            </w:r>
          </w:p>
        </w:tc>
        <w:tc>
          <w:tcPr>
            <w:tcW w:w="60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入力件数と設定を独立に変え、0件・容量境界・項目境界を試験する。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FR10</w:t>
            </w:r>
          </w:p>
        </w:tc>
        <w:tc>
          <w:tcPr>
            <w:tcW w:w="2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保存と再開</w:t>
            </w:r>
          </w:p>
        </w:tc>
        <w:tc>
          <w:tcPr>
            <w:tcW w:w="60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GUIとCLIで同じ処理を使い、世代保存・再開・再生成を行う。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FR11</w:t>
            </w:r>
          </w:p>
        </w:tc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備考操作</w:t>
            </w:r>
          </w:p>
        </w:tc>
        <w:tc>
          <w:tcPr>
            <w:tcW w:w="60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選択・備考・取消で修正する。選択だけでは配置を変えない。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FR12</w:t>
            </w:r>
          </w:p>
        </w:tc>
        <w:tc>
          <w:tcPr>
            <w:tcW w:w="2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ローカル推論</w:t>
            </w:r>
          </w:p>
        </w:tc>
        <w:tc>
          <w:tcPr>
            <w:tcW w:w="60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OCR／VLMとLLMを端末内で利用し、候補と根拠を対象IDへ結び付ける。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要件の補足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few-shotは部品・項目の記法をLLMへ示すために使う。期待PDFや実データをすべての記法例に要求しない。生成した帳票は別途検証し、例中の名前・値・座標・画像パスを業務要件として採用しない。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SVFの繰り返しアイテムと、サブフォーム内のRecordは別の構造として扱う。既存の繰り返しや連写をRecordへ自動変換しない。固定Fieldや空のリンク先領域を一律に異常と判定しない。［S2・S3］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3 操作フローと成果物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原稿読込 → 尺度・内容の抽出 → 参考表示 → 対象選択と備考 → LLM提案 → Python検査 → XML生成 → 実SVF／Designer確認 → 保存。矛盾・不足は備考へ戻す。確定済み状態の再生成では抽出と推論を省略する。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通常の備考変更は生成操作の中で自動検査・適用する。項目ごとの承認画面、座標ハンドル、属性パネルは設けない。外部出力の成否と、様式の生成成功は別に表示する。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50"/>
        <w:gridCol w:w="1800"/>
        <w:gridCol w:w="5388"/>
      </w:tblGrid>
      <w:tr>
        <w:trPr>
          <w:cantSplit/>
          <w:tblHeader/>
        </w:trPr>
        <w:tc>
          <w:tcPr>
            <w:tcW w:w="245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成果物</w:t>
            </w:r>
          </w:p>
        </w:tc>
        <w:tc>
          <w:tcPr>
            <w:tcW w:w="18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用途</w:t>
            </w:r>
          </w:p>
        </w:tc>
        <w:tc>
          <w:tcPr>
            <w:tcW w:w="538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管理する内容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form.xml</w:t>
            </w:r>
          </w:p>
        </w:tc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SVF様式</w:t>
            </w:r>
          </w:p>
        </w:tc>
        <w:tc>
          <w:tcPr>
            <w:tcW w:w="53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編集・印字用のXML。表示行数と既存設定を含む。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layout.json</w:t>
            </w:r>
          </w:p>
        </w:tc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作業状態</w:t>
            </w:r>
          </w:p>
        </w:tc>
        <w:tc>
          <w:tcPr>
            <w:tcW w:w="538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対象ID、配置、備考、提案、確定差分。原本XMLへの参照も持つ。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field_mapping.json</w:t>
            </w:r>
          </w:p>
        </w:tc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項目対応</w:t>
            </w:r>
          </w:p>
        </w:tc>
        <w:tc>
          <w:tcPr>
            <w:tcW w:w="53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業務キー、SVF名、型、NULL、桁超過時の扱い。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profile.json</w:t>
            </w:r>
          </w:p>
        </w:tc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環境と既定値</w:t>
            </w:r>
          </w:p>
        </w:tc>
        <w:tc>
          <w:tcPr>
            <w:tcW w:w="538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SVF版、フォント、座標単位、互換対応、出力経路。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preview.svg</w:t>
            </w:r>
          </w:p>
        </w:tc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参考表示</w:t>
            </w:r>
          </w:p>
        </w:tc>
        <w:tc>
          <w:tcPr>
            <w:tcW w:w="53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原稿との比較と対象選択。印字成功の証拠にはしない。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test_data.csv</w:t>
            </w:r>
          </w:p>
        </w:tc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明細試験</w:t>
            </w:r>
          </w:p>
        </w:tc>
        <w:tc>
          <w:tcPr>
            <w:tcW w:w="538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可変件数の合成データ。ヘッダー値と件数はtest_job.json。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validation.json</w:t>
            </w:r>
          </w:p>
        </w:tc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検証記録</w:t>
            </w:r>
          </w:p>
        </w:tc>
        <w:tc>
          <w:tcPr>
            <w:tcW w:w="53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構造・表示・実出力・Designerの結果、根拠、未実施理由。</w:t>
            </w:r>
          </w:p>
        </w:tc>
      </w:tr>
      <w:tr>
        <w:trPr>
          <w:cantSplit/>
        </w:trPr>
        <w:tc>
          <w:tcPr>
            <w:tcW w:w="24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manifest.json</w:t>
            </w:r>
          </w:p>
        </w:tc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世代整合</w:t>
            </w:r>
          </w:p>
        </w:tc>
        <w:tc>
          <w:tcPr>
            <w:tcW w:w="538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入力・各成果物・設定・生成器のハッシュと版。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原本・元XML・必要な素材もプロジェクト内へ保持する。複数ファイルは同じ世代で公開し、保存失敗時は前世代を使う。SVF出力のPDF・ログは検証記録から参照する。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4 共通規則と異常時の扱い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値の優先順位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対象と属性が明確な有効備考 → 元XML／確定済み項目定義 → 対象profileの既定値 → 原稿からの推定候補、の順とする。同じ属性への矛盾した有効備考は、後勝ちにせず確認待ちにする。few-shotは形式の根拠で、値の優先順位に入れない。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用紙の尺度、固定／可変、必須の項目対応、印字条件が不明な箇所は候補のまま残す。下書き保存と参考表示は継続できるが、影響範囲を含むXMLの確定や実データ出力は保留する。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データと0件の扱い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1ジョブは1つの帳票データ集合とする。共通ヘッダー値はjob.json、明細はCSVに分けるため、0件でも帳票情報を失わない。新規ジョブの0件は既定で出力せずEMPTY。0件の様式だけを出す要件は、empty_policy=emit_formとして対象SVFで確認した経路に限り利用する。ダミー明細を黙って追加しない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検証と保存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各検証はpass／fail／not_runを持つ。構造と参考表示だけで実出力済みと扱わない。関連設定やXMLが変われば、そのハッシュに結び付いた実出力・Designer受入の証拠を失効させる。実機なしでも設計と下書き保存を進め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保存は新しい世代を完成させてからcurrent参照を切り替える。実行タイムアウトや通信断でSVF側の結果が分からない場合はUNKNOWNとし、同じジョブを自動再投入しない。初期版はPDF検証出力を基本とする。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非機能と初期値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処理はローカルを既定とし、外部OCR／LLMへの自動切替と実行時のモデル自動取得を行わない。通常ログは対象ID・件数・状態・時間を中心とし、帳票値の全文を記録しない。原本の上書きはしない。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初期入力上限は20ページ・100MBとし、設定で変更可能にする。モデルのメモリ不足や制限超過は対象と理由を表示する。確定データのXML生成は5秒以内を性能目標とし、環境と対象サイズを記録して評価する。推論時間は別に測定し、キャンセル可能にする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5 受入条件 前半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50"/>
        <w:gridCol w:w="1750"/>
        <w:gridCol w:w="6838"/>
      </w:tblGrid>
      <w:tr>
        <w:trPr>
          <w:cantSplit/>
          <w:tblHeader/>
        </w:trPr>
        <w:tc>
          <w:tcPr>
            <w:tcW w:w="105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ID</w:t>
            </w:r>
          </w:p>
        </w:tc>
        <w:tc>
          <w:tcPr>
            <w:tcW w:w="175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試験</w:t>
            </w:r>
          </w:p>
        </w:tc>
        <w:tc>
          <w:tcPr>
            <w:tcW w:w="68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合格条件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AT01</w:t>
            </w:r>
          </w:p>
        </w:tc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XML往復</w:t>
            </w:r>
          </w:p>
        </w:tc>
        <w:tc>
          <w:tcPr>
            <w:tcW w:w="68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Designerで開く・保存・再読込が成功。無編集の変換で保護属性・未知ノードの意味差分0。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AT02</w:t>
            </w:r>
          </w:p>
        </w:tc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選択</w:t>
            </w:r>
          </w:p>
        </w:tc>
        <w:tc>
          <w:tcPr>
            <w:tcW w:w="68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SVG／Designer上の選択のみで対象の位置・項目契約が変わらない。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AT03</w:t>
            </w:r>
          </w:p>
        </w:tc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反復と所属</w:t>
            </w:r>
          </w:p>
        </w:tc>
        <w:tc>
          <w:tcPr>
            <w:tcW w:w="68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設定に対応する明細ID・順序・レコード種別・ページ／領域／XYが一致し、意図しない欠落・重複0。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AT04</w:t>
            </w:r>
          </w:p>
        </w:tc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容量境界</w:t>
            </w:r>
          </w:p>
        </w:tc>
        <w:tc>
          <w:tcPr>
            <w:tcW w:w="68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異なる領域・行高の2設定で0、1、2、C−1、C、C＋1、2C＋1件を試験。同一設定ではXMLを変えない。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AT05</w:t>
            </w:r>
          </w:p>
        </w:tc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罫線と空白</w:t>
            </w:r>
          </w:p>
        </w:tc>
        <w:tc>
          <w:tcPr>
            <w:tcW w:w="68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帳票別の枠・線種・周期・空白規則と出力が一致。二重線と不要なデータ行を作らない。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AT06</w:t>
            </w:r>
          </w:p>
        </w:tc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文字と図形</w:t>
            </w:r>
          </w:p>
        </w:tc>
        <w:tc>
          <w:tcPr>
            <w:tcW w:w="68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日本語・英数字・黒帯白文字・矩形・実線／点線に欠けや食込みがない。対象帳票のマークは指定値どおり。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AT07</w:t>
            </w:r>
          </w:p>
        </w:tc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項目契約</w:t>
            </w:r>
          </w:p>
        </w:tc>
        <w:tc>
          <w:tcPr>
            <w:tcW w:w="68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既存の名前・型・桁数・式・キー・リンク・マスクを無断変更しない。先頭ゼロとNULLも契約どおり。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AT08</w:t>
            </w:r>
          </w:p>
        </w:tc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位置精度</w:t>
            </w:r>
          </w:p>
        </w:tc>
        <w:tc>
          <w:tcPr>
            <w:tcW w:w="68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尺度確定済みで主要罫線0.2mm、文字基線0.3mm以内を初期基準とする。変更は帳票別に理由と実測を記録。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AT04のCは、追加行等のない単純な固定高ケースで確認した容量。負値・重複した件数は除く。複数Record・可変高・リンク・抑制を含む場合は、設定ごとの期待シーケンスと境界入力でAT03・AT04を行う。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画像の全体類似度だけで合格にしない。明細IDの欠落・重複、ページ、罫線、固定文字、基線を分けて確認する。実フォントの代替表示で位置や印字幅の受入を完了させない。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6 受入条件 後半と導入条件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50"/>
        <w:gridCol w:w="1750"/>
        <w:gridCol w:w="6838"/>
      </w:tblGrid>
      <w:tr>
        <w:trPr>
          <w:cantSplit/>
          <w:tblHeader/>
        </w:trPr>
        <w:tc>
          <w:tcPr>
            <w:tcW w:w="105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ID</w:t>
            </w:r>
          </w:p>
        </w:tc>
        <w:tc>
          <w:tcPr>
            <w:tcW w:w="175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試験</w:t>
            </w:r>
          </w:p>
        </w:tc>
        <w:tc>
          <w:tcPr>
            <w:tcW w:w="68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合格条件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AT09</w:t>
            </w:r>
          </w:p>
        </w:tc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異常</w:t>
            </w:r>
          </w:p>
        </w:tc>
        <w:tc>
          <w:tcPr>
            <w:tcW w:w="68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尺度不明、桁超過、素材欠落、未対応変更、矛盾を対象ID付きで検知し、影響のある確定・出力を止める。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AT10</w:t>
            </w:r>
          </w:p>
        </w:tc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再現性と機密</w:t>
            </w:r>
          </w:p>
        </w:tc>
        <w:tc>
          <w:tcPr>
            <w:tcW w:w="68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同じ確定データ・素材・profile・生成器版からXML意味差分0。推論を再実行せず、オフラインで再現可能。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AT11</w:t>
            </w:r>
          </w:p>
        </w:tc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備考中心の操作</w:t>
            </w:r>
          </w:p>
        </w:tc>
        <w:tc>
          <w:tcPr>
            <w:tcW w:w="68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属性パネルなしで文字訂正・固定／可変・項目条件・明細設定・配置修正を完了できる。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AT12</w:t>
            </w:r>
          </w:p>
        </w:tc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文字認識</w:t>
            </w:r>
          </w:p>
        </w:tc>
        <w:tc>
          <w:tcPr>
            <w:tcW w:w="68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コード・数値・固定文言を正解文字列と照合。未確定の文字は明示し、品番等の無断言換え0。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AT13</w:t>
            </w:r>
          </w:p>
        </w:tc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変更範囲</w:t>
            </w:r>
          </w:p>
        </w:tc>
        <w:tc>
          <w:tcPr>
            <w:tcW w:w="68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明示した対象・属性以外の変更0。矛盾や不足を備考で解消し、LLM候補だけでは確定しない。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AT14</w:t>
            </w:r>
          </w:p>
        </w:tc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取消と競合</w:t>
            </w:r>
          </w:p>
        </w:tc>
        <w:tc>
          <w:tcPr>
            <w:tcW w:w="68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備考の修正・削除・取消が反映され、古い入力版のLLM応答を適用しない。再開時も同じ状態になる。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AT15</w:t>
            </w:r>
          </w:p>
        </w:tc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表示行数</w:t>
            </w:r>
          </w:p>
        </w:tc>
        <w:tc>
          <w:tcPr>
            <w:tcW w:w="68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既存値を保持。表示行数だけ変えたXMLと同一データでDesigner表示と実出力を別々に比較し、対象版の挙動を記録。</w:t>
            </w:r>
          </w:p>
        </w:tc>
      </w:tr>
      <w:tr>
        <w:trPr>
          <w:cantSplit/>
        </w:trPr>
        <w:tc>
          <w:tcPr>
            <w:tcW w:w="10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AT16</w:t>
            </w:r>
          </w:p>
        </w:tc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保存と実行状態</w:t>
            </w:r>
          </w:p>
        </w:tc>
        <w:tc>
          <w:tcPr>
            <w:tcW w:w="68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保存中断で前の世代が残る。0件は既定でEMPTY。実行結果不明はUNKNOWNとし、二重実行を自動で起こさない。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AT15ではDのみ変更、Nのみ変更、領域／行高のみ変更の3試験を分離する。表示の違いと実PDFの違いを記録し、対象版の結果が想定と違えば互換設定を修正してから受入に進む。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導入担当はSVFX-Designer／実行部の版・SP、フォント、用紙・機種、UCX有無と既存実行手順をprofileへ登録する。帳票担当は1帳票の項目対応と期待出力を確認する。3帳票すべてがそろうことを実装着手条件には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本版では設計上の固定値・検査矛盾・保存／0件の未定義を解消した。導入先の印字挙動は環境別受入で確定する。公式資料は製品・版を区別し、詳細出典は基本設計書10章に記載する。</w:t>
      </w:r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S1  </w:t>
      </w:r>
      <w:hyperlink r:id="rIdSpec1">
        <w:r>
          <w:rPr>
            <w:rFonts w:eastAsia="Hiragino Sans" w:ascii="Helvetica Neue" w:hAnsi="Helvetica Neue"/>
            <w:sz w:val="18"/>
            <w:color w:val="24669A"/>
            <w:u w:val="single"/>
          </w:rPr>
          <w:t>SVF Cloud X-Designer レコードのプロパティ</w:t>
        </w:r>
      </w:hyperlink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S2  </w:t>
      </w:r>
      <w:hyperlink r:id="rIdSpec2">
        <w:r>
          <w:rPr>
            <w:rFonts w:eastAsia="Hiragino Sans" w:ascii="Helvetica Neue" w:hAnsi="Helvetica Neue"/>
            <w:sz w:val="18"/>
            <w:color w:val="24669A"/>
            <w:u w:val="single"/>
          </w:rPr>
          <w:t>SVF Cloud X-Designer サブフォームのプロパティ</w:t>
        </w:r>
      </w:hyperlink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S7  </w:t>
      </w:r>
      <w:hyperlink r:id="rIdSpec3">
        <w:r>
          <w:rPr>
            <w:rFonts w:eastAsia="Hiragino Sans" w:ascii="Helvetica Neue" w:hAnsi="Helvetica Neue"/>
            <w:sz w:val="18"/>
            <w:color w:val="24669A"/>
            <w:u w:val="single"/>
          </w:rPr>
          <w:t>SVF Cloud X-Designer マニュアルの対象範囲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改訂メモ" w:initials="改訂" w:date="2026-09-09T02:29:18Z">
    <w:p>
      <w:pPr>
        <w:pStyle w:val="CommentText"/>
      </w:pPr>
      <w:r>
        <w:rPr>
          <w:rStyle w:val="CommentReference"/>
        </w:rPr>
        <w:annotationRef/>
      </w:r>
      <w:r>
        <w:t>利用者の2026-09-09の指示を反映。属性パネルの提案を撤回し、備考テキストボックスに操作を統一。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2026-09-10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rFonts w:eastAsia="Hiragino Sans"/>
      </w:rPr>
      <w:t>SVF XML 自動再現ツール    基本定義書   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ind w:left="540" w:hanging="271"/>
        <w:tabs>
          <w:tab w:val="num" w:pos="540"/>
        </w:tabs>
      </w:pPr>
      <w:rPr>
        <w:rFonts w:ascii="Noto Sans CJK JP" w:hAnsi="Noto Sans CJK JP" w:hint="default" w:eastAsia="Noto Sans CJK JP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ind w:left="540" w:hanging="271"/>
        <w:tabs>
          <w:tab w:val="num" w:pos="540"/>
        </w:tabs>
      </w:pPr>
      <w:rPr>
        <w:rFonts w:ascii="Noto Sans CJK JP" w:hAnsi="Noto Sans CJK JP" w:hint="default" w:eastAsia="Noto Sans CJK JP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ind w:left="540" w:hanging="271"/>
        <w:tabs>
          <w:tab w:val="num" w:pos="540"/>
        </w:tabs>
      </w:pPr>
      <w:rPr>
        <w:rFonts w:ascii="Noto Sans CJK JP" w:hAnsi="Noto Sans CJK JP" w:hint="default" w:eastAsia="Noto Sans CJK JP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ind w:left="540" w:hanging="271"/>
        <w:tabs>
          <w:tab w:val="num" w:pos="540"/>
        </w:tabs>
      </w:pPr>
      <w:rPr>
        <w:rFonts w:ascii="Noto Sans CJK JP" w:hAnsi="Noto Sans CJK JP" w:hint="default" w:eastAsia="Noto Sans CJK JP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 CJK JP" w:hAnsi="Noto Sans CJK JP" w:eastAsia="Noto Sans CJK JP" w:cs="Noto Sans CJK JP"/>
      <w:b w:val="0"/>
      <w:i w:val="0"/>
      <w:color w:val="202A3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JP" w:hAnsi="Noto Sans CJK JP" w:eastAsia="Noto Sans CJK JP" w:cs="Noto Sans CJK JP"/>
      <w:b w:val="0"/>
      <w:i w:val="0"/>
      <w:color w:val="000000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JP" w:hAnsi="Noto Sans CJK JP" w:eastAsia="Noto Sans CJK JP" w:cs="Noto Sans CJK JP"/>
      <w:b w:val="0"/>
      <w:i w:val="0"/>
      <w:color w:val="607082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76" w:lineRule="auto"/>
      <w:outlineLvl w:val="0"/>
    </w:pPr>
    <w:rPr>
      <w:rFonts w:ascii="Noto Sans CJK JP" w:hAnsi="Noto Sans CJK JP" w:eastAsia="Noto Sans CJK JP" w:cs="Noto Sans CJK JP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76" w:lineRule="auto"/>
      <w:outlineLvl w:val="1"/>
    </w:pPr>
    <w:rPr>
      <w:rFonts w:ascii="Noto Sans CJK JP" w:hAnsi="Noto Sans CJK JP" w:eastAsia="Noto Sans CJK JP" w:cs="Noto Sans CJK JP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76" w:lineRule="auto"/>
      <w:outlineLvl w:val="2"/>
    </w:pPr>
    <w:rPr>
      <w:rFonts w:ascii="Noto Sans CJK JP" w:hAnsi="Noto Sans CJK JP" w:eastAsia="Noto Sans CJK JP" w:cs="Noto Sans CJK JP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76" w:lineRule="auto" w:before="0"/>
      <w:contextualSpacing/>
    </w:pPr>
    <w:rPr>
      <w:rFonts w:ascii="Noto Sans CJK JP" w:hAnsi="Noto Sans CJK JP" w:eastAsia="Noto Sans CJK JP" w:cs="Noto Sans CJK JP"/>
      <w:b/>
      <w:i w:val="0"/>
      <w:color w:val="000000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288" w:lineRule="auto"/>
    </w:pPr>
    <w:rPr>
      <w:rFonts w:ascii="Noto Sans CJK JP" w:hAnsi="Noto Sans CJK JP" w:eastAsia="Noto Sans CJK JP" w:cs="Noto Sans CJK JP"/>
      <w:b w:val="0"/>
      <w:i w:val="0"/>
      <w:iCs/>
      <w:color w:val="000000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80" w:line="300" w:lineRule="auto"/>
      <w:ind w:left="540" w:hanging="271"/>
      <w:contextualSpacing/>
    </w:pPr>
    <w:rPr>
      <w:rFonts w:ascii="Noto Sans CJK JP" w:hAnsi="Noto Sans CJK JP" w:eastAsia="Noto Sans CJK JP" w:cs="Noto Sans CJK JP"/>
      <w:b w:val="0"/>
      <w:i w:val="0"/>
      <w:color w:val="202A35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80" w:line="300" w:lineRule="auto"/>
      <w:ind w:left="540" w:hanging="271"/>
      <w:contextualSpacing/>
    </w:pPr>
    <w:rPr>
      <w:rFonts w:ascii="Noto Sans CJK JP" w:hAnsi="Noto Sans CJK JP" w:eastAsia="Noto Sans CJK JP" w:cs="Noto Sans CJK JP"/>
      <w:b w:val="0"/>
      <w:i w:val="0"/>
      <w:color w:val="202A35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before="80" w:after="80"/>
    </w:pPr>
    <w:rPr>
      <w:rFonts w:ascii="Noto Sans CJK JP" w:hAnsi="Noto Sans CJK JP" w:eastAsia="Noto Sans CJK JP" w:cs="Noto Sans CJK JP"/>
      <w:b w:val="0"/>
      <w:bCs/>
      <w:i w:val="0"/>
      <w:color w:val="56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Data">
    <w:name w:val="TableData"/>
    <w:pPr>
      <w:widowControl/>
      <w:spacing w:before="0" w:after="60" w:line="276" w:lineRule="auto"/>
    </w:pPr>
    <w:rPr>
      <w:rFonts w:ascii="Noto Sans CJK JP" w:hAnsi="Noto Sans CJK JP" w:eastAsia="Noto Sans CJK JP" w:cs="Noto Sans CJK JP"/>
      <w:b w:val="0"/>
      <w:i w:val="0"/>
      <w:color w:val="202A35"/>
      <w:sz w:val="19"/>
      <w:szCs w:val="19"/>
    </w:rPr>
  </w:style>
  <w:style w:type="paragraph" w:customStyle="1" w:styleId="Meta">
    <w:name w:val="Meta"/>
    <w:pPr>
      <w:widowControl/>
      <w:spacing w:before="0" w:after="60" w:line="276" w:lineRule="auto"/>
    </w:pPr>
    <w:rPr>
      <w:rFonts w:ascii="Noto Sans CJK JP" w:hAnsi="Noto Sans CJK JP" w:eastAsia="Noto Sans CJK JP" w:cs="Noto Sans CJK JP"/>
      <w:b w:val="0"/>
      <w:i w:val="0"/>
      <w:color w:val="566777"/>
      <w:sz w:val="18"/>
      <w:szCs w:val="18"/>
    </w:rPr>
  </w:style>
  <w:style w:type="paragraph" w:customStyle="1" w:styleId="TableAfter">
    <w:name w:val="TableAfter"/>
    <w:pPr>
      <w:widowControl/>
      <w:spacing w:before="0" w:after="80" w:line="240" w:lineRule="auto"/>
    </w:pPr>
    <w:rPr>
      <w:rFonts w:ascii="Noto Sans CJK JP" w:hAnsi="Noto Sans CJK JP" w:eastAsia="Noto Sans CJK JP" w:cs="Noto Sans CJK JP"/>
      <w:b w:val="0"/>
      <w:i w:val="0"/>
      <w:color w:val="202A35"/>
      <w:sz w:val="2"/>
      <w:szCs w:val="2"/>
    </w:rPr>
  </w:style>
  <w:style w:type="paragraph" w:customStyle="1" w:styleId="ReferenceSmall">
    <w:name w:val="ReferenceSmall"/>
    <w:pPr>
      <w:widowControl/>
      <w:spacing w:before="0" w:after="40" w:line="276" w:lineRule="auto"/>
    </w:pPr>
    <w:rPr>
      <w:rFonts w:ascii="Noto Sans CJK JP" w:hAnsi="Noto Sans CJK JP" w:eastAsia="Noto Sans CJK JP" w:cs="Noto Sans CJK JP"/>
      <w:b w:val="0"/>
      <w:i w:val="0"/>
      <w:color w:val="566777"/>
      <w:sz w:val="19"/>
      <w:szCs w:val="19"/>
    </w:rPr>
  </w:style>
  <w:style w:type="paragraph" w:customStyle="1" w:styleId="Callout">
    <w:name w:val="Callout"/>
    <w:pPr>
      <w:widowControl/>
      <w:spacing w:before="120" w:after="160" w:line="300" w:lineRule="auto"/>
    </w:pPr>
    <w:rPr>
      <w:rFonts w:ascii="Noto Sans CJK JP" w:hAnsi="Noto Sans CJK JP" w:eastAsia="Noto Sans CJK JP" w:cs="Noto Sans CJK JP"/>
      <w:b/>
      <w:i w:val="0"/>
      <w:color w:val="000000"/>
      <w:sz w:val="22"/>
      <w:szCs w:val="22"/>
    </w:rPr>
  </w:style>
  <w:style w:type="paragraph" w:customStyle="1" w:styleId="CodeExample">
    <w:name w:val="CodeExample"/>
    <w:pPr>
      <w:widowControl/>
      <w:spacing w:before="0" w:after="0" w:line="276" w:lineRule="auto"/>
    </w:pPr>
    <w:rPr>
      <w:rFonts w:ascii="DejaVu Sans Mono" w:hAnsi="DejaVu Sans Mono" w:eastAsia="Noto Sans CJK JP" w:cs="DejaVu Sans Mono"/>
      <w:b w:val="0"/>
      <w:i w:val="0"/>
      <w:color w:val="202A35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Spec1" Type="http://schemas.openxmlformats.org/officeDocument/2006/relationships/hyperlink" Target="https://repo.svfcloud.com/manual/release/ja/xdesigner/ja/record-properties-basic-settings-tab.html" TargetMode="External"/><Relationship Id="rIdSpec2" Type="http://schemas.openxmlformats.org/officeDocument/2006/relationships/hyperlink" Target="https://repo.svfcloud.com/manual/release/ja/xdesigner/ja/subform-properties-basic-tab.html" TargetMode="External"/><Relationship Id="rIdSpec3" Type="http://schemas.openxmlformats.org/officeDocument/2006/relationships/hyperlink" Target="https://repo.svfcloud.com/manual/release/ja/xdesigner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SVF XML 自動再現ツール 基本定義書</dc:title>
  <dc:subject>画像・PDFからの帳票様式再現とOracle帳票データ連携</dc:subject>
  <dc:creator>設計たたき台</dc:creator>
  <cp:keywords/>
  <dc:description>備考コメントのみのUI、実文字認識、ローカルLLMとXML few-shotの設計を反映。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