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4"/>
          <w:color w:val="000000"/>
        </w:rPr>
        <w:t xml:space="preserve">SVF XML 自動再現ツール</w:t>
      </w:r>
    </w:p>
    <w:p>
      <w:pPr>
        <w:pStyle w:val="Title"/>
        <w:keepNext/>
        <w:keepLines/>
        <w:spacing w:before="0" w:after="100" w:line="640" w:lineRule="exact"/>
        <w:widowControl/>
      </w:pPr>
      <w:r>
        <w:rPr>
          <w:rFonts w:ascii="Helvetica Neue" w:hAnsi="Helvetica Neue" w:eastAsia="Hiragino Sans" w:cs="Helvetica Neue"/>
          <w:sz w:val="46"/>
          <w:color w:val="000000"/>
          <w:b/>
        </w:rPr>
        <w:t xml:space="preserve">基本設計書</w:t>
      </w:r>
    </w:p>
    <w:p>
      <w:pPr>
        <w:pStyle w:val="Subtitle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4"/>
          <w:color w:val="000000"/>
        </w:rPr>
        <w:t xml:space="preserve">処理 データ契約 XML生成 明細設定 実行と検証</w:t>
      </w:r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版 0.3　改訂日 2026年9月10日　実装仕様</w:t>
      </w:r>
    </w:p>
    <w:p>
      <w:pPr>
        <w:pStyle w:val="Heading1"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1 構成と処理の責任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本版は基本定義書0.3を実装するための設計である。Pythonの単一アプリで入力解析、IR、備考、生成、検証を扱う。GUIはPySide6を基本案とし、各処理をCLIからも呼ぶ。SVF接続は既存のUCXまたはAPIバッチのうち、導入先で使う1経路から実装する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0"/>
        <w:gridCol w:w="2100"/>
        <w:gridCol w:w="5238"/>
      </w:tblGrid>
      <w:tr>
        <w:trPr>
          <w:cantSplit/>
          <w:tblHeader/>
        </w:trPr>
        <w:tc>
          <w:tcPr>
            <w:tcW w:w="23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処理</w:t>
            </w:r>
          </w:p>
        </w:tc>
        <w:tc>
          <w:tcPr>
            <w:tcW w:w="21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入力</w:t>
            </w:r>
          </w:p>
        </w:tc>
        <w:tc>
          <w:tcPr>
            <w:tcW w:w="52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出力と責任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import_source</w:t>
            </w:r>
          </w:p>
        </w:tc>
        <w:tc>
          <w:tcPr>
            <w:tcW w:w="21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原稿、profile</w:t>
            </w:r>
          </w:p>
        </w:tc>
        <w:tc>
          <w:tcPr>
            <w:tcW w:w="52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SourceDocument。原本の保存、尺度と既存XMLの取得。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extract</w:t>
            </w:r>
          </w:p>
        </w:tc>
        <w:tc>
          <w:tcPr>
            <w:tcW w:w="21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SourceDocument</w:t>
            </w:r>
          </w:p>
        </w:tc>
        <w:tc>
          <w:tcPr>
            <w:tcW w:w="52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LayoutState。実文字・形状・根拠領域の抽出。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propose</w:t>
            </w:r>
          </w:p>
        </w:tc>
        <w:tc>
          <w:tcPr>
            <w:tcW w:w="21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状態、備考、記法例</w:t>
            </w:r>
          </w:p>
        </w:tc>
        <w:tc>
          <w:tcPr>
            <w:tcW w:w="52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Proposal。対象IDと変更案。確定状態へ直接書き込まない。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resolve_validate</w:t>
            </w:r>
          </w:p>
        </w:tc>
        <w:tc>
          <w:tcPr>
            <w:tcW w:w="21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状態、Proposal</w:t>
            </w:r>
          </w:p>
        </w:tc>
        <w:tc>
          <w:tcPr>
            <w:tcW w:w="52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確定差分またはIssue。契約・配置・変更範囲の検査。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compile_preview</w:t>
            </w:r>
          </w:p>
        </w:tc>
        <w:tc>
          <w:tcPr>
            <w:tcW w:w="21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確定状態、元XML</w:t>
            </w:r>
          </w:p>
        </w:tc>
        <w:tc>
          <w:tcPr>
            <w:tcW w:w="52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form.xmlと参考SVG。対象版の記法に組み立てる。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run_validate</w:t>
            </w:r>
          </w:p>
        </w:tc>
        <w:tc>
          <w:tcPr>
            <w:tcW w:w="21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様式、Job、profile</w:t>
            </w:r>
          </w:p>
        </w:tc>
        <w:tc>
          <w:tcPr>
            <w:tcW w:w="52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RuntimeResult。実SVFの成果物と終了状態を取得。</w:t>
            </w:r>
          </w:p>
        </w:tc>
      </w:tr>
      <w:tr>
        <w:trPr>
          <w:cantSplit/>
        </w:trPr>
        <w:tc>
          <w:tcPr>
            <w:tcW w:w="2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save_revision</w:t>
            </w:r>
          </w:p>
        </w:tc>
        <w:tc>
          <w:tcPr>
            <w:tcW w:w="21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全成果物</w:t>
            </w:r>
          </w:p>
        </w:tc>
        <w:tc>
          <w:tcPr>
            <w:tcW w:w="52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世代番号とmanifest。完成世代を一括公開する。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処理順序と戻り先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読込 → 抽出 → 参考表示 → 対象選択／備考 → 提案 → 検査 → 生成 → 実出力・Designer確認 → 保存。検査の矛盾は備考へ、生成器の異常はエラー表示へ戻す。LLMを際限なく再試行するループは持たない。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SVFを使えない環境では生成まで進め、検証をnot_runで保存できる。日常のデータ出力は確定様式＋Jobをrun_validate相当の既存経路へ渡し、OCR・LLM・様式再生成を呼ばない。DB抽出・業務計算・配送は本ツールの処理から分離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実装単位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上記は同一パッケージ内の関数と小さなモジュールにする。サービス分割や独立DBは不要。互換対応はprofile内の表とXMLひな形で表現し、実帳票が必要とする部品から増やす。モデルはローカルで構造化応答を返す1経路を選び、実装時に依存版を固定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2 状態データと正本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内部仕様をsvf-ir/1.2とする。1.1等の旧JSONは、対応する変換器を実装した版だけ取り込む。版不明はSCHEMA_UNSUPPORTEDとし、原本は保存できる。利用者へJSONの手編集を求めない。以下の型名・フィールド名は本ツールの仕様であり、SVF XMLの属性名とは区別する。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0"/>
        <w:gridCol w:w="3250"/>
        <w:gridCol w:w="4788"/>
      </w:tblGrid>
      <w:tr>
        <w:trPr>
          <w:cantSplit/>
          <w:tblHeader/>
        </w:trPr>
        <w:tc>
          <w:tcPr>
            <w:tcW w:w="16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構造</w:t>
            </w:r>
          </w:p>
        </w:tc>
        <w:tc>
          <w:tcPr>
            <w:tcW w:w="32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主要フィールド</w:t>
            </w:r>
          </w:p>
        </w:tc>
        <w:tc>
          <w:tcPr>
            <w:tcW w:w="478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型と規則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LayoutState</w:t>
            </w:r>
          </w:p>
        </w:tc>
        <w:tc>
          <w:tcPr>
            <w:tcW w:w="32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schema_version, revision, source</w:t>
            </w:r>
          </w:p>
        </w:tc>
        <w:tc>
          <w:tcPr>
            <w:tcW w:w="47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版文字列、整数、原稿種別・sha256・保存先。revisionは確定更新ごとに増加。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ページ</w:t>
            </w:r>
          </w:p>
        </w:tc>
        <w:tc>
          <w:tcPr>
            <w:tcW w:w="32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pages[]</w:t>
            </w:r>
          </w:p>
        </w:tc>
        <w:tc>
          <w:tcPr>
            <w:tcW w:w="47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id、width_mm、height_mm、source_transform。複数原稿ページを別IDで保持。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対象</w:t>
            </w:r>
          </w:p>
        </w:tc>
        <w:tc>
          <w:tcPr>
            <w:tcW w:w="32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objects[], subforms[], records[]</w:t>
            </w:r>
          </w:p>
        </w:tc>
        <w:tc>
          <w:tcPr>
            <w:tcW w:w="47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安定IDと親ID、page_id、元ノード参照。詳細は3章。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原本XML</w:t>
            </w:r>
          </w:p>
        </w:tc>
        <w:tc>
          <w:tcPr>
            <w:tcW w:w="32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source_xml_ref, source_xml_hash</w:t>
            </w:r>
          </w:p>
        </w:tc>
        <w:tc>
          <w:tcPr>
            <w:tcW w:w="47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元DOMの保存先とハッシュ。未知属性はここを正本とし、簡略IRで置き換えない。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備考と差分</w:t>
            </w:r>
          </w:p>
        </w:tc>
        <w:tc>
          <w:tcPr>
            <w:tcW w:w="32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annotations[], accepted_patches[]</w:t>
            </w:r>
          </w:p>
        </w:tc>
        <w:tc>
          <w:tcPr>
            <w:tcW w:w="47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備考版、対象、原文、before／after、根拠。取消時に再構成する。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候補と問題</w:t>
            </w:r>
          </w:p>
        </w:tc>
        <w:tc>
          <w:tcPr>
            <w:tcW w:w="32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proposals[], issues[]</w:t>
            </w:r>
          </w:p>
        </w:tc>
        <w:tc>
          <w:tcPr>
            <w:tcW w:w="47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推論結果は確定差分と別管理。Issueはcode、target_ids、stage、severity、message。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依存版</w:t>
            </w:r>
          </w:p>
        </w:tc>
        <w:tc>
          <w:tcPr>
            <w:tcW w:w="32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profile_ref, mapping_ref</w:t>
            </w:r>
          </w:p>
        </w:tc>
        <w:tc>
          <w:tcPr>
            <w:tcW w:w="47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対象profileと項目対応のID・ハッシュ。古い組合せで実行しない。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値の優先順位と不変条件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対象属性を明示する有効備考 → 元XML／確定項目定義 → profileの既定値 → 推定候補。few-shot内のサンプル値はこの順位に入れない。推定だけで型・業務対応・キー・改ページ等を確定しない。既存契約を変える備考は許可するが、依存する式や対応表も検査する。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全IDはプロジェクト内で一意。削除したIDを再利用しない。IDは座標や表示名から再計算しない。元ノード参照は原本ハッシュに結び付け、入力差替え時に曖昧な自動対応をしない。座標内にあるだけでは親子関係を作らない。［S3］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新規の部品はIDを確定してから生成し、同一確定状態の再生成で同じ名前を使う。SVF名の重複は種別と名前空間に応じて検査する。SubProperties.Boxは親のプロパティで、通常Boxと一括した名前重複検査を行わない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3 オブジェクトと互換設定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500"/>
        <w:gridCol w:w="4338"/>
      </w:tblGrid>
      <w:tr>
        <w:trPr>
          <w:cantSplit/>
          <w:tblHeader/>
        </w:trPr>
        <w:tc>
          <w:tcPr>
            <w:tcW w:w="18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構造</w:t>
            </w:r>
          </w:p>
        </w:tc>
        <w:tc>
          <w:tcPr>
            <w:tcW w:w="35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必須フィールド</w:t>
            </w:r>
          </w:p>
        </w:tc>
        <w:tc>
          <w:tcPr>
            <w:tcW w:w="43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扱い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Object</w:t>
            </w:r>
          </w:p>
        </w:tc>
        <w:tc>
          <w:tcPr>
            <w:tcW w:w="35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id, kind, page_id, parent_id, geometry</w:t>
            </w:r>
          </w:p>
        </w:tc>
        <w:tc>
          <w:tcPr>
            <w:tcW w:w="43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kindはtext／field／line／box／image／opaque。配置と元座標、元ノード参照を持つ。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Text／Field</w:t>
            </w:r>
          </w:p>
        </w:tc>
        <w:tc>
          <w:tcPr>
            <w:tcW w:w="35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raw_text, text, role, style, binding_ref</w:t>
            </w:r>
          </w:p>
        </w:tc>
        <w:tc>
          <w:tcPr>
            <w:tcW w:w="43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読取原文と確定文字を分離。FieldにはSVF名、型・桁数等を対応させる。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Subform</w:t>
            </w:r>
          </w:p>
        </w:tc>
        <w:tc>
          <w:tcPr>
            <w:tcW w:w="35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id, name, bounds_mm, direction, link_to</w:t>
            </w:r>
          </w:p>
        </w:tc>
        <w:tc>
          <w:tcPr>
            <w:tcW w:w="43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directionはvertical／horizontal／unknown。枠設定と印刷モードも保持。配列で複数対応。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Record</w:t>
            </w:r>
          </w:p>
        </w:tc>
        <w:tc>
          <w:tcPr>
            <w:tcW w:w="35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id, subform_id, name, kind, bounds_mm</w:t>
            </w:r>
          </w:p>
        </w:tc>
        <w:tc>
          <w:tcPr>
            <w:tcW w:w="43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kindはdetail／header／subtotal／total／unknown。元XML内の順序を保持する。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Record配置</w:t>
            </w:r>
          </w:p>
        </w:tc>
        <w:tc>
          <w:tcPr>
            <w:tcW w:w="35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height, height_unit, display_line_count</w:t>
            </w:r>
          </w:p>
        </w:tc>
        <w:tc>
          <w:tcPr>
            <w:tcW w:w="43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height_unitはdot／inch6／inch8／unknown。表示行数は整数または未解釈null＋元属性。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Record条件</w:t>
            </w:r>
          </w:p>
        </w:tc>
        <w:tc>
          <w:tcPr>
            <w:tcW w:w="35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fixed_position, output_options</w:t>
            </w:r>
          </w:p>
        </w:tc>
        <w:tc>
          <w:tcPr>
            <w:tcW w:w="43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抑制・合計・キー・自動リンク等の既存属性は保全。未解釈の意味を推測しない。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Profile</w:t>
            </w:r>
          </w:p>
        </w:tc>
        <w:tc>
          <w:tcPr>
            <w:tcW w:w="35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id, target, coordinate_dpi, xml_base_ref</w:t>
            </w:r>
          </w:p>
        </w:tc>
        <w:tc>
          <w:tcPr>
            <w:tcW w:w="43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targetは製品、版、SP、出力機種、フォント。enum表、部品ひな形、既定値を持つ。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geometryはページ左上原点のmm。線はx1、y1、x2、y2、その他は対象種別に必要な枠を保持する。SVF XML座標への変換はcompilerに閉じ込める。親の座標を無条件に引くなど、ローカル座標系への推測変換をしない。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互換性の3状態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各機能はedit_supported、preserve_only、unsupportedのいずれかをprofileに登録する。edit_supportedだけ生成・変更可能。preserve_onlyは元DOMをそのまま引き継ぎ、参考表示が不完全なら明示する。未知の機能はpreserve_onlyを既定とし、未対応の変更要求は止め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数値enumと単位の対応は対象版の保存XML・資料で記録し、few-shotのtype=0やdirection=1だけから共通定数を作らない。新規生成には対象版で開けるベースXMLを用意する。ベース未設定でも抽出・編集候補の作成は可能だが、互換性を確認したXMLとしては確定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XML内のRecord数は設計するレコード種別・パターンの数であり、入力データN件分に増やさない。リンク先の空領域は許容する。複数Recordの順序や領域外に置く合計は既存の意味を守る。［S1・S2］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4 表示行数と明細配置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displayLineCountは読み書き・表示確認に利用する。公開X-Designer資料はこの項目を事前の配置確認に使う設定として説明している。古いオンプレミス版の実行時動作まで同一と断定せず、AT15で対象版における影響を確認する。［S1・S7］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300"/>
        <w:gridCol w:w="4538"/>
      </w:tblGrid>
      <w:tr>
        <w:trPr>
          <w:cantSplit/>
          <w:tblHeader/>
        </w:trPr>
        <w:tc>
          <w:tcPr>
            <w:tcW w:w="18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値</w:t>
            </w:r>
          </w:p>
        </w:tc>
        <w:tc>
          <w:tcPr>
            <w:tcW w:w="33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保存先</w:t>
            </w:r>
          </w:p>
        </w:tc>
        <w:tc>
          <w:tcPr>
            <w:tcW w:w="45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使用する処理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 表示行数</w:t>
            </w:r>
          </w:p>
        </w:tc>
        <w:tc>
          <w:tcPr>
            <w:tcW w:w="3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Record.display_line_count</w:t>
            </w:r>
          </w:p>
        </w:tc>
        <w:tc>
          <w:tcPr>
            <w:tcW w:w="45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元XMLから読込、生成XMLへ出力、設計参考SVGの繰返し表示。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N 入力件数</w:t>
            </w:r>
          </w:p>
        </w:tc>
        <w:tc>
          <w:tcPr>
            <w:tcW w:w="3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Job.data_count</w:t>
            </w:r>
          </w:p>
        </w:tc>
        <w:tc>
          <w:tcPr>
            <w:tcW w:w="45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明細データを読む件数。Dで打切り・水増ししない。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C 推定容量</w:t>
            </w:r>
          </w:p>
        </w:tc>
        <w:tc>
          <w:tcPr>
            <w:tcW w:w="33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preview.capacity またはnull</w:t>
            </w:r>
          </w:p>
        </w:tc>
        <w:tc>
          <w:tcPr>
            <w:tcW w:w="45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条件を限定した参考計算と境界試験。実行時の件数上限にしない。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実配置</w:t>
            </w:r>
          </w:p>
        </w:tc>
        <w:tc>
          <w:tcPr>
            <w:tcW w:w="33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RuntimeResultのPDFと検証結果</w:t>
            </w:r>
          </w:p>
        </w:tc>
        <w:tc>
          <w:tcPr>
            <w:tcW w:w="45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データ・様式・出力設定に従ったSVFの結果。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Dの決定規則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1　有効備考に「表示を10行」等の指定があればDを変更する。これは表示行数の変更であり、実データを10件へ制限する指示には変換しない。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2　既存XMLに値があれば維持する。行高・領域の変更だけではDを無断で変えず、表示が領域を越える場合は参考表示の注意を出す。元値が解釈できない場合は原属性を保持する。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3　新規Recordで指定がなければ、単純ケースのCが確定しているときD=Cを採用する。それ以外は対象版のひな形にある値を使用し、決定根拠を保存する。画像の見えている段数はDの候補にできるが、Nの上限とは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ツールから設定するDは正の整数を基本とし、上限と例外値はprofileに従う。範囲が未確認なら既存／ひな形値の保持にとどめる。参考SVGの描画上限で省略した場合は、その件数を表示し、XMLのD自体は変更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容量と罫線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縦展開・同一固定高・1データ1明細・追加行／可変高／抑制／途中改ページ／リンクなしのとき、C=floor(H_eff / h)を参考計算する。H_effは明細開始位置から使える高さ、hは単位換算した配置ピッチ。h≤0、H_eff≤0またはC=0は設定不整合。境界の丸めは実機で校正する。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横展開・複数Record等は独自にページエンジンを作らず、容量nullと理由を返して実出力で確認する。設計参考表示のD個の枠には、元Record IDと表示インスタンス番号を付け、クリックは元Recordの編集へ結び付ける。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枠固定／データ追従、線種・周期k・空白規則は帳票別に持つ。空枠を描くことと、空データのRecordを印字することを区別する。罫線周期の実装には対象SVFで確認した属性式・部品を使い、未対応なら固定線で近似して合格としない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5 備考とLLM候補の契約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Annotationはid、target_ids、text、revision、active、source_hashを必須とする。原文の変更でrevisionを増やす。同じ属性への衝突はCOMMENT_CONFLICT。削除・取消時は原本＋有効な備考から差分を再構成する。別の処理で確定した状態へ古い候補を重ね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モデル入力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対象と必要な周辺のIR、元属性、原稿切出し、備考、対象版、関連する記法例、profileの対応範囲を渡す。原稿中の文字やfew-shot内コメントを操作命令として扱わない。初期実装はタグと用途によるローカル索引で十分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1200"/>
        <w:gridCol w:w="5438"/>
      </w:tblGrid>
      <w:tr>
        <w:trPr>
          <w:cantSplit/>
          <w:tblHeader/>
        </w:trPr>
        <w:tc>
          <w:tcPr>
            <w:tcW w:w="30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Proposalのキー</w:t>
            </w:r>
          </w:p>
        </w:tc>
        <w:tc>
          <w:tcPr>
            <w:tcW w:w="12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型</w:t>
            </w:r>
          </w:p>
        </w:tc>
        <w:tc>
          <w:tcPr>
            <w:tcW w:w="54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制約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source_hash / base_revision</w:t>
            </w:r>
          </w:p>
        </w:tc>
        <w:tc>
          <w:tcPr>
            <w:tcW w:w="12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string / integer</w:t>
            </w:r>
          </w:p>
        </w:tc>
        <w:tc>
          <w:tcPr>
            <w:tcW w:w="54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要求時の原本ハッシュとIR版。受信時に一致を確認。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annotation_revisions</w:t>
            </w:r>
          </w:p>
        </w:tc>
        <w:tc>
          <w:tcPr>
            <w:tcW w:w="12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object</w:t>
            </w:r>
          </w:p>
        </w:tc>
        <w:tc>
          <w:tcPr>
            <w:tcW w:w="54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備考IDと版。変更・削除済みの備考への応答は適用しない。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changes[]</w:t>
            </w:r>
          </w:p>
        </w:tc>
        <w:tc>
          <w:tcPr>
            <w:tcW w:w="12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array</w:t>
            </w:r>
          </w:p>
        </w:tc>
        <w:tc>
          <w:tcPr>
            <w:tcW w:w="54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target_id、op、property、value、note_ids、example_idsを持つ。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xml_fragments[]</w:t>
            </w:r>
          </w:p>
        </w:tc>
        <w:tc>
          <w:tcPr>
            <w:tcW w:w="12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array</w:t>
            </w:r>
          </w:p>
        </w:tc>
        <w:tc>
          <w:tcPr>
            <w:tcW w:w="54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必要時のみparent_id、kind、XML断片、対応するchange番号。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unresolved[]</w:t>
            </w:r>
          </w:p>
        </w:tc>
        <w:tc>
          <w:tcPr>
            <w:tcW w:w="12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array</w:t>
            </w:r>
          </w:p>
        </w:tc>
        <w:tc>
          <w:tcPr>
            <w:tcW w:w="54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target_ids、code、短い不足事項。未確定値を空文字で代用しない。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opはset、add、remove、reparentの4種。propertyは型別の許可リストから選ぶ。rootの全文置換、対象外属性の更新、存在しない親、許可されないタグを拒否する。形式はJSON Schemaで検査し、意味・式・型・変更範囲は別の検査を行う。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few-shotの位置付け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few-shot.txtは記法見本の原本として維持する。例ID、タグ、用途、必要な親文脈、出典、版情報または不明を索引に持つ。Record内にFieldがない例もRecord属性の参照に使える。各例に印字用PDF・CSVを必須化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LLMが提案したXML断片は、構文解析と許可属性の検査後にPythonが組み立てる。例の座標・名前・テスト値・画像パスをそのまま採用しない。実出力の正解例は別に管理し、様式・データ・期待PDF・環境をそろえ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再試行と確定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形式不正のモデル応答はエラー要点を返して自動再試行を1回だけ行う。再失敗や意味矛盾はIssueとして利用者へ返す。入力版が変わった応答はSTALE_PROPOSALで破棄する。検査済みの差分をまとめて適用し、途中までの適用を残さない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6 XML生成と構造検査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元XMLを解析 → 確定IRと項目対応を検査 → 元DOMの複製へ許可差分を適用 → XML再解析と意味差分確認 → 新世代へ保存、の順に実装する。XMLの外部実体と外部DTD読込を無効にし、LLMの文字列をコードとして実行しない。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0"/>
        <w:gridCol w:w="4600"/>
        <w:gridCol w:w="3138"/>
      </w:tblGrid>
      <w:tr>
        <w:trPr>
          <w:cantSplit/>
          <w:tblHeader/>
        </w:trPr>
        <w:tc>
          <w:tcPr>
            <w:tcW w:w="19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対象</w:t>
            </w:r>
          </w:p>
        </w:tc>
        <w:tc>
          <w:tcPr>
            <w:tcW w:w="46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検査規則</w:t>
            </w:r>
          </w:p>
        </w:tc>
        <w:tc>
          <w:tcPr>
            <w:tcW w:w="31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失敗時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Fieldと親</w:t>
            </w:r>
          </w:p>
        </w:tc>
        <w:tc>
          <w:tcPr>
            <w:tcW w:w="4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明細に指定されたFieldは実Record配下。固定Fieldのルート配置は許容。</w:t>
            </w:r>
          </w:p>
        </w:tc>
        <w:tc>
          <w:tcPr>
            <w:tcW w:w="31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PARENT_INVALID。無断の親移動をしない。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SubFormリンク</w:t>
            </w:r>
          </w:p>
        </w:tc>
        <w:tc>
          <w:tcPr>
            <w:tcW w:w="4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リンク先名の解決、元Recordとの関係、自己参照や循環。</w:t>
            </w:r>
          </w:p>
        </w:tc>
        <w:tc>
          <w:tcPr>
            <w:tcW w:w="31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LINK_INVALID。空のリンク先にRecordを補わない。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Line</w:t>
            </w:r>
          </w:p>
        </w:tc>
        <w:tc>
          <w:tcPr>
            <w:tcW w:w="4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端点は有限、長さは0より大きい。水平・垂直の片辺0は有効。</w:t>
            </w:r>
          </w:p>
        </w:tc>
        <w:tc>
          <w:tcPr>
            <w:tcW w:w="31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GEOMETRY_INVALID。矩形と同じ検査にしない。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Box等</w:t>
            </w:r>
          </w:p>
        </w:tc>
        <w:tc>
          <w:tcPr>
            <w:tcW w:w="4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幅・高さ、塗り、線幅を種別ごとに確認。QR等へ矩形規則を流用しない。</w:t>
            </w:r>
          </w:p>
        </w:tc>
        <w:tc>
          <w:tcPr>
            <w:tcW w:w="31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非対応種別は元DOMを保持し、変更を保留。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項目契約</w:t>
            </w:r>
          </w:p>
        </w:tc>
        <w:tc>
          <w:tcPr>
            <w:tcW w:w="46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名前・型・桁数・式・キー・リンク・マスクを差分比較。</w:t>
            </w:r>
          </w:p>
        </w:tc>
        <w:tc>
          <w:tcPr>
            <w:tcW w:w="31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CONTRACT_CONFLICT。依存する式も再検査。</w:t>
            </w:r>
          </w:p>
        </w:tc>
      </w:tr>
      <w:tr>
        <w:trPr>
          <w:cantSplit/>
        </w:trPr>
        <w:tc>
          <w:tcPr>
            <w:tcW w:w="1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素材と版</w:t>
            </w:r>
          </w:p>
        </w:tc>
        <w:tc>
          <w:tcPr>
            <w:tcW w:w="46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採用する画像、フォント、パレット、版情報、ひな形を確認。</w:t>
            </w:r>
          </w:p>
        </w:tc>
        <w:tc>
          <w:tcPr>
            <w:tcW w:w="31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ASSET_MISSINGまたはPROFILE_UNREADY。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既存XMLの保護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未指定属性と未知ノード、子要素順、レイヤー、綴り、パレット、互換情報を維持する。raw XMLの属性順の違いと意味変更は分けて比較する。無編集で未知部分を正規化・削除しない。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生成するField名は元契約が最優先。新規の名前は確定IDに対応付けて保存し、再生成で変えない。項目名変更時はXML内参照とmappingを同一差分として更新し、参照式を解析できない場合は変更を止める。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複数ページと未知部品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複数原稿ページを自動で別の綴りページやリンクフォームに解釈しない。ページの役割が未確定ならPAGE_ROLE_UNRESOLVED。既存XMLの綴り・連写・繰り返しは保全し、確認済み対応がある場合だけ編集する。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7 入力解析と参考表示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尺度と文字の抽出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PDFは文字・線・塗りを直接抽出し、画像領域だけOCRへ渡す。不正な文字層は該当領域だけ読取りをやり直す。画像は既知の物理寸法または信頼できるDPIを使用し、スクリーンショットの画素数からA4等を決め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source_geometryに元座標、CropBox、回転、切出し、変換行列と逆行列を保存する。mm=px×25.4/source_dpi、dot=mm×coordinate_dpi/25.4を使用する。PDFはUserUnit等を適用したpointから変換する。原稿のDPI、解析画像のDPI、SVF座標単位、機種解像度を混同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文字と形状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raw_textと確定text、ink_bboxと配置枠、基線、サイズ、倍率、ピッチ、寄せ、色を分離する。セル・基線・文字間隔でOCR片を結合し、別Fieldを1文字列へ統合しない。品番・漢字・全半角は備考なしに言い換え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黒帯は塗り矩形と白文字を別オブジェクトにする。太線への置換で代用しない。点線は1本の線種として扱えるかを確認し、角丸・矢印等は対応する図形の構造を保つ。読み取れないロゴ等は画像部品にできるが、帳票全体を背景画像化して編集可能と扱わ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明細候補と選択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画像内の繰り返された明細は、同じレイアウトのRecordテンプレートと表示インスタンス候補へまとめる。異なるレコード種別や小計を一律に同一テンプレートへ統合しない。親・役割・項目対応は元XMLか備考で確定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原稿と参考SVGを同じ変換で表示する。設計表示はDを利用し、実データ入り参考表示は指定されたテストデータを利用する。どちらも実SVFのPDFとは区別する。クリックは対象IDを選び、表示インスタンスの座標を編集値として保存しない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精度と性能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忠実再現を既定にし、余白・列幅・文字サイズの最適化は備考で指定した範囲のみ行う。丸めはXML出力時にまとめ、参考反復の位置は起点＋番号×ピッチで求める。毎段の丸め誤差を累積させない。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モデルの認識スコアを校正済みの正答確率と表示しない。コード・数値・固定文言の完全一致率と、訂正時間・処理時間・メモリを別に記録する。実フォントを使えない環境では代替表示であることを示し、AT06・AT08は対象環境で確認する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8 業務データと出力経路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共通入力はJobと明細CSVで構成する。これは本ツールの入力仕様で、UCXやDesignerのCSV仕様そのものではない。アダプターが導入先のファイル形式へ変換する。UCXの制御XMLとFormData様式XMLを同じファイルとして扱わない。［S5］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3650"/>
        <w:gridCol w:w="4288"/>
      </w:tblGrid>
      <w:tr>
        <w:trPr>
          <w:cantSplit/>
          <w:tblHeader/>
        </w:trPr>
        <w:tc>
          <w:tcPr>
            <w:tcW w:w="17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構造</w:t>
            </w:r>
          </w:p>
        </w:tc>
        <w:tc>
          <w:tcPr>
            <w:tcW w:w="36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項目</w:t>
            </w:r>
          </w:p>
        </w:tc>
        <w:tc>
          <w:tcPr>
            <w:tcW w:w="428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契約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job.json</w:t>
            </w:r>
          </w:p>
        </w:tc>
        <w:tc>
          <w:tcPr>
            <w:tcW w:w="36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job_id, form_revision, mapping_hash</w:t>
            </w:r>
          </w:p>
        </w:tc>
        <w:tc>
          <w:tcPr>
            <w:tcW w:w="42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呼出元が同一の論理実行へ同じjob_idを使う。様式世代と対応表を指定。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job.json</w:t>
            </w:r>
          </w:p>
        </w:tc>
        <w:tc>
          <w:tcPr>
            <w:tcW w:w="36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header, data_file, data_count</w:t>
            </w:r>
          </w:p>
        </w:tc>
        <w:tc>
          <w:tcPr>
            <w:tcW w:w="42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headerは共通値のobject。CSVのレコード数とdata_countが一致すること。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job.json</w:t>
            </w:r>
          </w:p>
        </w:tc>
        <w:tc>
          <w:tcPr>
            <w:tcW w:w="36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empty_policy, output_profile</w:t>
            </w:r>
          </w:p>
        </w:tc>
        <w:tc>
          <w:tcPr>
            <w:tcW w:w="42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empty_policyはskip／emit_form。初期値skip。出力先の許可済みprofileを指定。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mapping</w:t>
            </w:r>
          </w:p>
        </w:tc>
        <w:tc>
          <w:tcPr>
            <w:tcW w:w="36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source_key, scope, svf_field</w:t>
            </w:r>
          </w:p>
        </w:tc>
        <w:tc>
          <w:tcPr>
            <w:tcW w:w="428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scopeはheader／detail。record_id、型、必須、NULL方針、桁超過方針も定義。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CSV</w:t>
            </w:r>
          </w:p>
        </w:tc>
        <w:tc>
          <w:tcPr>
            <w:tcW w:w="36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1行目はsource_key、以降は明細</w:t>
            </w:r>
          </w:p>
        </w:tc>
        <w:tc>
          <w:tcPr>
            <w:tcW w:w="428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UTF-8 BOMなし、CRLF、カンマ区切り、二重引用符。本文の引用符は二重化。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共通CSVの値は文字列として読む。数値の先頭ゼロを勝手に消さない。空欄はmappingで空文字／NULLを指定する。同じ列で両者を区別する必要があれば、mappingで定めたNULLトークンを使い、実値との衝突をエラーにする。埋込改行はCSVパーサーで読むが、出力先が非対応なら値を書き換えず止め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数値は十進数文字列、日付の共通形式はYYYY-MM-DD。業務計算と丸めは抽出側で確定する。文字数・バイト数・SVF桁数・実フォント幅は別に検査し、桁超過の初期値はerror。無断切捨て・フォント縮小をしない。0件はヘッダー行だけのCSVとJob.headerで表現でき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Runtime Adapterの契約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run(form_path, job, mapping, profile)はRuntimeResultを返す。戻り値はstatus、runtime_job_id、data_count、artifact_paths、log_paths、error_codeを必須とする。statusはSUCCEEDED／FAILED／UNKNOWN／EMPTY。UNKNOWNはタイムアウトや通信断等で実行結果が確定しない状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UCXでは様式、ファイル書式、文字コード、出力先、ジョブ名をprofileへ設定する。APIバッチでは各明細の必要Field設定→対象レコードの確定を入力ストリーム順に行い、初期化と終了も含め対象版で確認した既存手順に従う。戻りコードと結果ファイルを確認し、例外を成功扱い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CSV1行を入力1件とする。複数明細Recordはprofileのrecord_groupに対象IDと順序を持たせ、1件分の全対象Fieldを設定して既存経路の確定手順へ渡す。ヘッダー・合計を明細として一律に送らず、XMLと実行設定に従わせる。キー・ソート有無もprofileで明示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Dで入力を切り詰めない。0件skipはSVFを呼ばずEMPTY、emit_formは対象経路で確認済みの場合だけ呼ぶ。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9 検証と保存の実装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検証の判定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validation.jsonはchecks[]にkind、status、input_hashes、evidence、issuesを保存する。kindはstructure／preview／runtime／designer、statusはpass／fail／not_run。受入済みは必要なcheckが同じ様式・データ・profileのハッシュに対してpassになった場合だけと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PDFの明細ID、レコード種別、ページ、領域、XYを期待値と照合する。識別用IDを表示する試験では、マスクやサプレスでIDが消えないよう試験様式を用意する。入力Nと印字レコード数は複数Record・小計・抑制により一致しないことがある。抽出不能なら目視確認記録を残し、自動合格にはしない。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0"/>
        <w:gridCol w:w="3350"/>
        <w:gridCol w:w="4538"/>
      </w:tblGrid>
      <w:tr>
        <w:trPr>
          <w:cantSplit/>
          <w:tblHeader/>
        </w:trPr>
        <w:tc>
          <w:tcPr>
            <w:tcW w:w="17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試験</w:t>
            </w:r>
          </w:p>
        </w:tc>
        <w:tc>
          <w:tcPr>
            <w:tcW w:w="335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変更する条件</w:t>
            </w:r>
          </w:p>
        </w:tc>
        <w:tc>
          <w:tcPr>
            <w:tcW w:w="45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確認内容</w:t>
            </w:r>
          </w:p>
        </w:tc>
      </w:tr>
      <w:tr>
        <w:trPr>
          <w:cantSplit/>
        </w:trPr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表示行数</w:t>
            </w:r>
          </w:p>
        </w:tc>
        <w:tc>
          <w:tcPr>
            <w:tcW w:w="33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Dだけを変更、Nと領域は同一</w:t>
            </w:r>
          </w:p>
        </w:tc>
        <w:tc>
          <w:tcPr>
            <w:tcW w:w="45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Designer／設計SVGと実PDFを別に比較。AT15。</w:t>
            </w:r>
          </w:p>
        </w:tc>
      </w:tr>
      <w:tr>
        <w:trPr>
          <w:cantSplit/>
        </w:trPr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件数</w:t>
            </w:r>
          </w:p>
        </w:tc>
        <w:tc>
          <w:tcPr>
            <w:tcW w:w="33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同一XMLでNを変更</w:t>
            </w:r>
          </w:p>
        </w:tc>
        <w:tc>
          <w:tcPr>
            <w:tcW w:w="45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0、1、2と容量境界。欠落・重複・あふれ先。AT03・AT04。</w:t>
            </w:r>
          </w:p>
        </w:tc>
      </w:tr>
      <w:tr>
        <w:trPr>
          <w:cantSplit/>
        </w:trPr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配置設定</w:t>
            </w:r>
          </w:p>
        </w:tc>
        <w:tc>
          <w:tcPr>
            <w:tcW w:w="33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領域・行高・方向・リンク</w:t>
            </w:r>
          </w:p>
        </w:tc>
        <w:tc>
          <w:tcPr>
            <w:tcW w:w="45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異なる設定でも動作。リンク先の空Recordをエラーにしない。</w:t>
            </w:r>
          </w:p>
        </w:tc>
      </w:tr>
      <w:tr>
        <w:trPr>
          <w:cantSplit/>
        </w:trPr>
        <w:tc>
          <w:tcPr>
            <w:tcW w:w="17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条件付き出力</w:t>
            </w:r>
          </w:p>
        </w:tc>
        <w:tc>
          <w:tcPr>
            <w:tcW w:w="335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複数Record、長文、キー、抑制</w:t>
            </w:r>
          </w:p>
        </w:tc>
        <w:tc>
          <w:tcPr>
            <w:tcW w:w="45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採用した設定ごとに期待シーケンスを登録。</w:t>
            </w:r>
          </w:p>
        </w:tc>
      </w:tr>
      <w:tr>
        <w:trPr>
          <w:cantSplit/>
        </w:trPr>
        <w:tc>
          <w:tcPr>
            <w:tcW w:w="17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更新と中断</w:t>
            </w:r>
          </w:p>
        </w:tc>
        <w:tc>
          <w:tcPr>
            <w:tcW w:w="335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備考版、保存途中、実行タイムアウト</w:t>
            </w:r>
          </w:p>
        </w:tc>
        <w:tc>
          <w:tcPr>
            <w:tcW w:w="45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古い提案破棄、旧世代保持、UNKNOWN、再実行防止。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エラーと状態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入力未確定はDRAFT／NEEDS_INPUT、検査済み生成物はGENERATEDとする。実行結果は別管理し、実行FAILEDやUNKNOWNでも下書きを消さない。Issueのseverity=errorは影響する生成・実行を止め、warningは不完全な参考表示などを通知する。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世代保存と再実行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revisions/&lt;revision&gt;.tmpへ全成果物を書き、ハッシュと読戻しを検査してから完成ディレクトリへ変更し、current.jsonを原子的に置換する。原本と完成世代は不変。起動時は不完全なtmpを採用せず、currentが指す世代を読み込む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job_idと入力・様式・mapping・profileのハッシュを実行台帳JSONへ保存する。同じIDで内容違いは拒否。同じ内容の成功は既存結果を返し、UNKNOWNは照会・手動確認まで再投入しない。初期版は同時に1ジョブ実行とし、台帳の更新を直列化する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CLIはimport／generate／validate／render-testを用意する。終了コードは0=成功、2=入力補足、3=検査失敗、4=実行失敗、5=実行結果不明。GUIも同じ状態とIssueを表示し、内部のJSONキーは通常画面へ露出させない。</w:t>
      </w:r>
    </w:p>
    <w:p>
      <w:pPr>
        <w:pStyle w:val="Heading1"/>
        <w:pageBreakBefore/>
        <w:keepNext/>
        <w:keepLines/>
        <w:spacing w:before="0" w:after="100" w:line="420" w:lineRule="exact"/>
        <w:widowControl/>
      </w:pPr>
      <w:r>
        <w:rPr>
          <w:rFonts w:ascii="Helvetica Neue" w:hAnsi="Helvetica Neue" w:eastAsia="Hiragino Sans" w:cs="Helvetica Neue"/>
          <w:sz w:val="32"/>
          <w:color w:val="000000"/>
          <w:b/>
        </w:rPr>
        <w:t xml:space="preserve">10 修正事項と導入時の確認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0"/>
        <w:gridCol w:w="4938"/>
        <w:gridCol w:w="1800"/>
      </w:tblGrid>
      <w:tr>
        <w:trPr>
          <w:cantSplit/>
          <w:tblHeader/>
        </w:trPr>
        <w:tc>
          <w:tcPr>
            <w:tcW w:w="29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元資料の問題</w:t>
            </w:r>
          </w:p>
        </w:tc>
        <w:tc>
          <w:tcPr>
            <w:tcW w:w="4938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本版の解決</w:t>
            </w:r>
          </w:p>
        </w:tc>
        <w:tc>
          <w:tcPr>
            <w:tcW w:w="1800" w:type="dxa"/>
            <w:vAlign w:val="center"/>
            <w:shd w:fill="17324D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FFFFFF"/>
                <w:b/>
              </w:rPr>
              <w:t xml:space="preserve">確認する試験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表示行数の利用が不明確</w:t>
            </w:r>
          </w:p>
        </w:tc>
        <w:tc>
          <w:tcPr>
            <w:tcW w:w="49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Dを読込・保存・XML生成・設計表示に利用。NとCを分離。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AT15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50件と罫線周期の固定</w:t>
            </w:r>
          </w:p>
        </w:tc>
        <w:tc>
          <w:tcPr>
            <w:tcW w:w="49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設定ごとの容量、周期k、実出力期待値へ置換。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AT03〜AT05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記法例と正解帳票の混同</w:t>
            </w:r>
          </w:p>
        </w:tc>
        <w:tc>
          <w:tcPr>
            <w:tcW w:w="49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few-shotと実出力fixtureを分け、生成物を検査。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AT01・AT13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全要素に矩形検査</w:t>
            </w:r>
          </w:p>
        </w:tc>
        <w:tc>
          <w:tcPr>
            <w:tcW w:w="49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線・枠・未知部品の検査を分離し、親も意味で確認。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AT01・AT09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実在を確認していない項目名</w:t>
            </w:r>
          </w:p>
        </w:tc>
        <w:tc>
          <w:tcPr>
            <w:tcW w:w="4938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FIELD_13_A等を既存契約と断定しない。mappingへ実値を登録。</w:t>
            </w:r>
          </w:p>
        </w:tc>
        <w:tc>
          <w:tcPr>
            <w:tcW w:w="1800" w:type="dxa"/>
            <w:vAlign w:val="center"/>
            <w:shd w:fill="EAF0F6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AT07</w:t>
            </w:r>
          </w:p>
        </w:tc>
      </w:tr>
      <w:tr>
        <w:trPr>
          <w:cantSplit/>
        </w:trPr>
        <w:tc>
          <w:tcPr>
            <w:tcW w:w="29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0件と保存／実行中断が未定義</w:t>
            </w:r>
          </w:p>
        </w:tc>
        <w:tc>
          <w:tcPr>
            <w:tcW w:w="4938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Job.header、EMPTY、世代保存、UNKNOWNを定義。</w:t>
            </w:r>
          </w:p>
        </w:tc>
        <w:tc>
          <w:tcPr>
            <w:tcW w:w="1800" w:type="dxa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pStyle w:val="Normal"/>
              <w:spacing w:before="0" w:after="0" w:line="280" w:lineRule="exact"/>
              <w:widowControl/>
            </w:pPr>
            <w:r>
              <w:rPr>
                <w:rFonts w:ascii="Helvetica Neue" w:hAnsi="Helvetica Neue" w:eastAsia="Hiragino Sans" w:cs="Helvetica Neue"/>
                <w:sz w:val="20"/>
                <w:color w:val="202A35"/>
              </w:rPr>
              <w:t xml:space="preserve">AT16</w:t>
            </w:r>
          </w:p>
        </w:tc>
      </w:tr>
    </w:tbl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/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導入時に必要な実値は、対象SVF版・SP、保存XMLのenum対応、フォント、実行ジョブ／コマンド、文字コードと出力先、帳票項目対応。これらはprofileとmappingへ登録する。未設定時の動作はPROFILE_UNREADY等で定義済みのため、コア実装を止める理由にはしない。</w:t>
      </w:r>
    </w:p>
    <w:p>
      <w:pPr>
        <w:pStyle w:val="Normal"/>
        <w:spacing w:before="0" w:after="100" w:line="320" w:lineRule="exact"/>
        <w:widowControl/>
      </w:pPr>
      <w:r>
        <w:rPr>
          <w:rFonts w:ascii="Helvetica Neue" w:hAnsi="Helvetica Neue" w:eastAsia="Hiragino Sans" w:cs="Helvetica Neue"/>
          <w:sz w:val="22"/>
          <w:color w:val="202A35"/>
        </w:rPr>
        <w:t xml:space="preserve">few-shotにはFormData version=9.2、designer=9.1があるが、導入先の環境や互換性を証明する値ではない。公開X-DesignerとオンプレミスSVFX-Designerには機能差がある。S6のWeb Designer 9.2は比較資料として用い、S1の表示行数説明を古い版の実行保証へ拡大しない。［S7］</w:t>
      </w:r>
    </w:p>
    <w:p>
      <w:pPr>
        <w:pStyle w:val="Heading2"/>
        <w:keepNext/>
        <w:keepLines/>
        <w:spacing w:before="140" w:after="100" w:line="360" w:lineRule="exact"/>
        <w:widowControl/>
      </w:pPr>
      <w:r>
        <w:rPr>
          <w:rFonts w:ascii="Helvetica Neue" w:hAnsi="Helvetica Neue" w:eastAsia="Hiragino Sans" w:cs="Helvetica Neue"/>
          <w:sz w:val="26"/>
          <w:color w:val="000000"/>
          <w:b/>
        </w:rPr>
        <w:t xml:space="preserve">公開公式資料</w:t>
      </w:r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S1  </w:t>
      </w:r>
      <w:hyperlink r:id="rIdSpec1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レコードのプロパティ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S2  </w:t>
      </w:r>
      <w:hyperlink r:id="rIdSpec2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サブフォームのプロパティ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S3  </w:t>
      </w:r>
      <w:hyperlink r:id="rIdSpec3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レコードの作成と階層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S4  </w:t>
      </w:r>
      <w:hyperlink r:id="rIdSpec4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レポートライター設定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S5  </w:t>
      </w:r>
      <w:hyperlink r:id="rIdSpec5">
        <w:r>
          <w:rPr>
            <w:rFonts w:eastAsia="Hiragino Sans" w:ascii="Helvetica Neue" w:hAnsi="Helvetica Neue"/>
            <w:sz w:val="18"/>
            <w:color w:val="24669A"/>
            <w:u w:val="single"/>
          </w:rPr>
          <w:t>Universal Connect X 9.2 共通の関数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S6  </w:t>
      </w:r>
      <w:hyperlink r:id="rIdSpec6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Designer 9.2 レコードを作成する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S7  </w:t>
      </w:r>
      <w:hyperlink r:id="rIdSpec7">
        <w:r>
          <w:rPr>
            <w:rFonts w:eastAsia="Hiragino Sans" w:ascii="Helvetica Neue" w:hAnsi="Helvetica Neue"/>
            <w:sz w:val="18"/>
            <w:color w:val="24669A"/>
            <w:u w:val="single"/>
          </w:rPr>
          <w:t>SVF Cloud X-Designer マニュアルの対象範囲</w:t>
        </w:r>
      </w:hyperlink>
    </w:p>
    <w:p>
      <w:pPr>
        <w:pStyle w:val="Meta"/>
        <w:spacing w:before="0" w:after="100" w:line="260" w:lineRule="exact"/>
        <w:widowControl/>
      </w:pPr>
      <w:r>
        <w:rPr>
          <w:rFonts w:ascii="Helvetica Neue" w:hAnsi="Helvetica Neue" w:eastAsia="Hiragino Sans" w:cs="Helvetica Neue"/>
          <w:sz w:val="18"/>
          <w:color w:val="202A35"/>
        </w:rPr>
        <w:t xml:space="preserve">2026年9月10日参照。S1〜S4は公開X-Designer、S5はUCX 9.2、S6はWeb Designer 9.2、S7はマニュアルの対象範囲。式・既定値・対象版固有の動作は保存XMLと実機結果で確定する。本書の内部データ形式、Dの決定手順、保存方式は実装方針であり、SVFの公式仕様を転載したものではない。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改訂メモ" w:initials="改訂" w:date="2026-09-09T02:29:18Z">
    <w:p>
      <w:pPr>
        <w:pStyle w:val="CommentText"/>
      </w:pPr>
      <w:r>
        <w:rPr>
          <w:rStyle w:val="CommentReference"/>
        </w:rPr>
        <w:annotationRef/>
      </w:r>
      <w:r>
        <w:t>v0.2では備考コメントだけで修正する方針を明記。利用者が型・桁数等の入力フォームを操作する案は撤回。</w:t>
      </w:r>
    </w:p>
  </w:comment>
  <w:comment w:id="1" w:author="改訂メモ" w:initials="改訂" w:date="2026-09-09T02:29:18Z">
    <w:p>
      <w:pPr>
        <w:pStyle w:val="CommentText"/>
      </w:pPr>
      <w:r>
        <w:rPr>
          <w:rStyle w:val="CommentReference"/>
        </w:rPr>
        <w:annotationRef/>
      </w:r>
      <w:r>
        <w:t>旧版のLLMを役割候補だけに限定する記述を改訂。実文字認識、備考解釈、XML部品候補の生成を対象に追加。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rFonts w:eastAsia="Hiragino Sans"/>
      </w:rPr>
      <w:t>SVF XML 自動再現ツール    基本設計書   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ind w:left="540" w:hanging="271"/>
        <w:tabs>
          <w:tab w:val="num" w:pos="540"/>
        </w:tabs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ind w:left="540" w:hanging="271"/>
        <w:tabs>
          <w:tab w:val="num" w:pos="540"/>
        </w:tabs>
      </w:pPr>
      <w:rPr>
        <w:rFonts w:ascii="Noto Sans CJK JP" w:hAnsi="Noto Sans CJK JP" w:hint="default" w:eastAsia="Noto Sans CJK JP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JP" w:hAnsi="Noto Sans CJK JP" w:eastAsia="Noto Sans CJK JP" w:cs="Noto Sans CJK JP"/>
      <w:b w:val="0"/>
      <w:i w:val="0"/>
      <w:color w:val="000000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JP" w:hAnsi="Noto Sans CJK JP" w:eastAsia="Noto Sans CJK JP" w:cs="Noto Sans CJK JP"/>
      <w:b w:val="0"/>
      <w:i w:val="0"/>
      <w:color w:val="607082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="Noto Sans CJK JP" w:hAnsi="Noto Sans CJK JP" w:eastAsia="Noto Sans CJK JP" w:cs="Noto Sans CJK JP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="Noto Sans CJK JP" w:hAnsi="Noto Sans CJK JP" w:eastAsia="Noto Sans CJK JP" w:cs="Noto Sans CJK JP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="Noto Sans CJK JP" w:hAnsi="Noto Sans CJK JP" w:eastAsia="Noto Sans CJK JP" w:cs="Noto Sans CJK JP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76" w:lineRule="auto" w:before="0"/>
      <w:contextualSpacing/>
    </w:pPr>
    <w:rPr>
      <w:rFonts w:ascii="Noto Sans CJK JP" w:hAnsi="Noto Sans CJK JP" w:eastAsia="Noto Sans CJK JP" w:cs="Noto Sans CJK JP"/>
      <w:b/>
      <w:i w:val="0"/>
      <w:color w:val="000000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88" w:lineRule="auto"/>
    </w:pPr>
    <w:rPr>
      <w:rFonts w:ascii="Noto Sans CJK JP" w:hAnsi="Noto Sans CJK JP" w:eastAsia="Noto Sans CJK JP" w:cs="Noto Sans CJK JP"/>
      <w:b w:val="0"/>
      <w:i w:val="0"/>
      <w:iCs/>
      <w:color w:val="000000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ind w:left="540" w:hanging="271"/>
      <w:contextualSpacing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ind w:left="540" w:hanging="271"/>
      <w:contextualSpacing/>
    </w:pPr>
    <w:rPr>
      <w:rFonts w:ascii="Noto Sans CJK JP" w:hAnsi="Noto Sans CJK JP" w:eastAsia="Noto Sans CJK JP" w:cs="Noto Sans CJK JP"/>
      <w:b w:val="0"/>
      <w:i w:val="0"/>
      <w:color w:val="202A35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80" w:after="80"/>
    </w:pPr>
    <w:rPr>
      <w:rFonts w:ascii="Noto Sans CJK JP" w:hAnsi="Noto Sans CJK JP" w:eastAsia="Noto Sans CJK JP" w:cs="Noto Sans CJK JP"/>
      <w:b w:val="0"/>
      <w:bCs/>
      <w:i w:val="0"/>
      <w:color w:val="56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Data">
    <w:name w:val="TableData"/>
    <w:pPr>
      <w:widowControl/>
      <w:spacing w:before="0" w:after="60" w:line="276" w:lineRule="auto"/>
    </w:pPr>
    <w:rPr>
      <w:rFonts w:ascii="Noto Sans CJK JP" w:hAnsi="Noto Sans CJK JP" w:eastAsia="Noto Sans CJK JP" w:cs="Noto Sans CJK JP"/>
      <w:b w:val="0"/>
      <w:i w:val="0"/>
      <w:color w:val="202A35"/>
      <w:sz w:val="19"/>
      <w:szCs w:val="19"/>
    </w:rPr>
  </w:style>
  <w:style w:type="paragraph" w:customStyle="1" w:styleId="Meta">
    <w:name w:val="Meta"/>
    <w:pPr>
      <w:widowControl/>
      <w:spacing w:before="0" w:after="60" w:line="276" w:lineRule="auto"/>
    </w:pPr>
    <w:rPr>
      <w:rFonts w:ascii="Noto Sans CJK JP" w:hAnsi="Noto Sans CJK JP" w:eastAsia="Noto Sans CJK JP" w:cs="Noto Sans CJK JP"/>
      <w:b w:val="0"/>
      <w:i w:val="0"/>
      <w:color w:val="566777"/>
      <w:sz w:val="18"/>
      <w:szCs w:val="18"/>
    </w:rPr>
  </w:style>
  <w:style w:type="paragraph" w:customStyle="1" w:styleId="TableAfter">
    <w:name w:val="TableAfter"/>
    <w:pPr>
      <w:widowControl/>
      <w:spacing w:before="0" w:after="80" w:line="240" w:lineRule="auto"/>
    </w:pPr>
    <w:rPr>
      <w:rFonts w:ascii="Noto Sans CJK JP" w:hAnsi="Noto Sans CJK JP" w:eastAsia="Noto Sans CJK JP" w:cs="Noto Sans CJK JP"/>
      <w:b w:val="0"/>
      <w:i w:val="0"/>
      <w:color w:val="202A35"/>
      <w:sz w:val="2"/>
      <w:szCs w:val="2"/>
    </w:rPr>
  </w:style>
  <w:style w:type="paragraph" w:customStyle="1" w:styleId="ReferenceSmall">
    <w:name w:val="ReferenceSmall"/>
    <w:pPr>
      <w:widowControl/>
      <w:spacing w:before="0" w:after="40" w:line="276" w:lineRule="auto"/>
    </w:pPr>
    <w:rPr>
      <w:rFonts w:ascii="Noto Sans CJK JP" w:hAnsi="Noto Sans CJK JP" w:eastAsia="Noto Sans CJK JP" w:cs="Noto Sans CJK JP"/>
      <w:b w:val="0"/>
      <w:i w:val="0"/>
      <w:color w:val="566777"/>
      <w:sz w:val="19"/>
      <w:szCs w:val="19"/>
    </w:rPr>
  </w:style>
  <w:style w:type="paragraph" w:customStyle="1" w:styleId="Callout">
    <w:name w:val="Callout"/>
    <w:pPr>
      <w:widowControl/>
      <w:spacing w:before="120" w:after="160" w:line="300" w:lineRule="auto"/>
    </w:pPr>
    <w:rPr>
      <w:rFonts w:ascii="Noto Sans CJK JP" w:hAnsi="Noto Sans CJK JP" w:eastAsia="Noto Sans CJK JP" w:cs="Noto Sans CJK JP"/>
      <w:b/>
      <w:i w:val="0"/>
      <w:color w:val="000000"/>
      <w:sz w:val="22"/>
      <w:szCs w:val="22"/>
    </w:rPr>
  </w:style>
  <w:style w:type="paragraph" w:customStyle="1" w:styleId="CodeExample">
    <w:name w:val="CodeExample"/>
    <w:pPr>
      <w:widowControl/>
      <w:spacing w:before="0" w:after="0" w:line="276" w:lineRule="auto"/>
    </w:pPr>
    <w:rPr>
      <w:rFonts w:ascii="DejaVu Sans Mono" w:hAnsi="DejaVu Sans Mono" w:eastAsia="Noto Sans CJK JP" w:cs="DejaVu Sans Mono"/>
      <w:b w:val="0"/>
      <w:i w:val="0"/>
      <w:color w:val="202A35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po.svfcloud.com/manual/release/ja/xdesigner/ja/1237840.html" TargetMode="External"/><Relationship Id="rId12" Type="http://schemas.openxmlformats.org/officeDocument/2006/relationships/hyperlink" Target="https://repo.svfcloud.com/manual/release/ja/xdesigner/ja/record-properties-basic-settings-tab.html" TargetMode="External"/><Relationship Id="rId13" Type="http://schemas.openxmlformats.org/officeDocument/2006/relationships/hyperlink" Target="https://repo.svfcloud.com/manual/release/ja/xdesigner/ja/subform-properties-basic-tab.html" TargetMode="External"/><Relationship Id="rId14" Type="http://schemas.openxmlformats.org/officeDocument/2006/relationships/hyperlink" Target="https://repo.svfcloud.com/manual/release/ja/xdesigner/ja/show-grid-in-form-window.html" TargetMode="External"/><Relationship Id="rId15" Type="http://schemas.openxmlformats.org/officeDocument/2006/relationships/hyperlink" Target="https://repo.svfcloud.com/manual/release/ja/xdesigner/ja/1237776.html" TargetMode="External"/><Relationship Id="rId16" Type="http://schemas.openxmlformats.org/officeDocument/2006/relationships/hyperlink" Target="https://repo.svfcloud.com/manual/release/ja/ucx/ucx92/ja/2814221.html" TargetMode="External"/><Relationship Id="rId17" Type="http://schemas.openxmlformats.org/officeDocument/2006/relationships/hyperlink" Target="https://repo.svfcloud.com/manual/release/ja/xdesigner/ja/1237828.html" TargetMode="External"/><Relationship Id="rId18" Type="http://schemas.openxmlformats.org/officeDocument/2006/relationships/hyperlink" Target="https://docs.oracle.com/en/database/oracle/oracle-database/19/arpls/UTL_FILE.html" TargetMode="External"/><Relationship Id="rId19" Type="http://schemas.openxmlformats.org/officeDocument/2006/relationships/hyperlink" Target="https://python-oracledb.readthedocs.io/en/latest/api_manual/defaults.html" TargetMode="External"/><Relationship Id="rId20" Type="http://schemas.openxmlformats.org/officeDocument/2006/relationships/hyperlink" Target="https://github.com/jsvine/pdfplumber" TargetMode="External"/><Relationship Id="rId21" Type="http://schemas.openxmlformats.org/officeDocument/2006/relationships/hyperlink" Target="https://tesseract-ocr.github.io/tessdoc/Data-Files.html" TargetMode="External"/><Relationship Id="rId22" Type="http://schemas.openxmlformats.org/officeDocument/2006/relationships/hyperlink" Target="https://doc.qt.io/qtforpython-6/" TargetMode="External"/><Relationship Id="rId23" Type="http://schemas.openxmlformats.org/officeDocument/2006/relationships/comments" Target="comments.xml"/><Relationship Id="rId24" Type="http://schemas.openxmlformats.org/officeDocument/2006/relationships/hyperlink" Target="https://www.paddleocr.ai/latest/en/version3.x/algorithm/PP-OCRv5/PP-OCRv5.html" TargetMode="External"/><Relationship Id="rId25" Type="http://schemas.openxmlformats.org/officeDocument/2006/relationships/hyperlink" Target="https://github.com/QwenLM/Qwen3-VL" TargetMode="External"/><Relationship Id="rId26" Type="http://schemas.openxmlformats.org/officeDocument/2006/relationships/hyperlink" Target="https://docs.ollama.com/capabilities/structured-outputs" TargetMode="External"/><Relationship Id="rId27" Type="http://schemas.openxmlformats.org/officeDocument/2006/relationships/hyperlink" Target="https://www.w3.org/TR/SVG2/struct.html#DescriptionAndTitleElements" TargetMode="External"/><Relationship Id="rIdSpec1" Type="http://schemas.openxmlformats.org/officeDocument/2006/relationships/hyperlink" Target="https://repo.svfcloud.com/manual/release/ja/xdesigner/ja/record-properties-basic-settings-tab.html" TargetMode="External"/><Relationship Id="rIdSpec2" Type="http://schemas.openxmlformats.org/officeDocument/2006/relationships/hyperlink" Target="https://repo.svfcloud.com/manual/release/ja/xdesigner/ja/subform-properties-basic-tab.html" TargetMode="External"/><Relationship Id="rIdSpec3" Type="http://schemas.openxmlformats.org/officeDocument/2006/relationships/hyperlink" Target="https://repo.svfcloud.com/manual/release/ja/xdesigner/ja/1237840.html" TargetMode="External"/><Relationship Id="rIdSpec4" Type="http://schemas.openxmlformats.org/officeDocument/2006/relationships/hyperlink" Target="https://repo.svfcloud.com/manual/release/ja/xdesigner/ja/1237828.html" TargetMode="External"/><Relationship Id="rIdSpec5" Type="http://schemas.openxmlformats.org/officeDocument/2006/relationships/hyperlink" Target="https://repo.svfcloud.com/manual/release/ja/ucx/ucx92/ja/2814274.html" TargetMode="External"/><Relationship Id="rIdSpec6" Type="http://schemas.openxmlformats.org/officeDocument/2006/relationships/hyperlink" Target="https://repo.svfcloud.com/manual/release/ja/webdesigner/swd92usercloud/ja/897086.html" TargetMode="External"/><Relationship Id="rIdSpec7" Type="http://schemas.openxmlformats.org/officeDocument/2006/relationships/hyperlink" Target="https://repo.svfcloud.com/manual/release/ja/xdesign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SVF XML 自動再現ツール 基本設計書</dc:title>
  <dc:subject>画像・PDFからの帳票様式再現とOracle帳票データ連携</dc:subject>
  <dc:creator>設計たたき台</dc:creator>
  <cp:keywords/>
  <dc:description>備考コメントのみのUI、実文字認識、ローカルLLMとXML few-shotの設計を反映。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